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726d1_6k.htm"/>
      <w:bookmarkStart w:id="1" w:name="kstm2623726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2460" w:right="244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2460" w:right="244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2457" w:right="244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49" w:right="244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42" w:right="244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3194" w:right="3184" w:hanging="0"/>
        <w:jc w:val="center"/>
        <w:rPr>
          <w:rFonts w:ascii="Times New Roman;Times;Serif" w:hAnsi="Times New Roman;Times;Serif"/>
          <w:b/>
          <w:i w:val="false"/>
          <w:caps/>
          <w:sz w:val="20"/>
        </w:rPr>
      </w:pPr>
      <w:r>
        <w:rPr>
          <w:rFonts w:ascii="Times New Roman;Times;Serif" w:hAnsi="Times New Roman;Times;Serif"/>
          <w:b/>
          <w:i w:val="false"/>
          <w:caps/>
          <w:sz w:val="20"/>
        </w:rPr>
        <w:t>Pursuant to Rule 13a-16 or 15d-16 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97" w:right="3499"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3497" w:right="3499" w:hanging="0"/>
        <w:jc w:val="center"/>
        <w:rPr>
          <w:caps w:val="false"/>
          <w:smallCaps w:val="false"/>
        </w:rPr>
      </w:pPr>
      <w:r>
        <w:rPr>
          <w:caps w:val="false"/>
          <w:smallCaps w:val="false"/>
        </w:rPr>
        <w:t> </w:t>
      </w:r>
    </w:p>
    <w:p>
      <w:pPr>
        <w:pStyle w:val="TextBody"/>
        <w:bidi w:val="0"/>
        <w:spacing w:before="0" w:after="0"/>
        <w:ind w:left="3497" w:right="3499"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001-41745</w:t>
      </w:r>
    </w:p>
    <w:p>
      <w:pPr>
        <w:pStyle w:val="TextBody"/>
        <w:bidi w:val="0"/>
        <w:spacing w:before="0" w:after="0"/>
        <w:ind w:left="2457" w:right="2448" w:hanging="0"/>
        <w:jc w:val="center"/>
        <w:rPr>
          <w:caps w:val="false"/>
          <w:smallCaps w:val="false"/>
        </w:rPr>
      </w:pPr>
      <w:r>
        <w:rPr>
          <w:caps w:val="false"/>
          <w:smallCaps w:val="false"/>
        </w:rPr>
        <w:t> </w:t>
      </w:r>
    </w:p>
    <w:p>
      <w:pPr>
        <w:pStyle w:val="TextBody"/>
        <w:bidi w:val="0"/>
        <w:spacing w:before="0" w:after="0"/>
        <w:ind w:left="2457" w:right="2448"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ODDITY Tech Ltd.</w:t>
      </w:r>
    </w:p>
    <w:p>
      <w:pPr>
        <w:pStyle w:val="TextBody"/>
        <w:bidi w:val="0"/>
        <w:spacing w:before="0" w:after="0"/>
        <w:ind w:left="2443" w:right="244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57" w:right="244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HaHarash Street,</w:t>
      </w:r>
    </w:p>
    <w:p>
      <w:pPr>
        <w:pStyle w:val="TextBody"/>
        <w:bidi w:val="0"/>
        <w:spacing w:before="0" w:after="0"/>
        <w:ind w:left="2457" w:right="244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 Aviv-Jaffa, 6761304, Israel </w:t>
      </w:r>
    </w:p>
    <w:p>
      <w:pPr>
        <w:pStyle w:val="TextBody"/>
        <w:bidi w:val="0"/>
        <w:spacing w:before="0" w:after="0"/>
        <w:ind w:left="2457" w:right="244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100" w:right="0" w:hanging="0"/>
        <w:jc w:val="left"/>
        <w:rPr>
          <w:caps w:val="false"/>
          <w:smallCaps w:val="false"/>
        </w:rPr>
      </w:pPr>
      <w:r>
        <w:rPr>
          <w:caps w:val="false"/>
          <w:smallCaps w:val="false"/>
        </w:rPr>
        <w:t> </w:t>
      </w:r>
    </w:p>
    <w:p>
      <w:pPr>
        <w:pStyle w:val="TextBody"/>
        <w:bidi w:val="0"/>
        <w:spacing w:before="0" w:after="0"/>
        <w:ind w:left="2448" w:right="244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the board of directors (the “Board”) of ODDITY Tech Ltd. (the “Company”) appointed David S. Cohen as an independent director of the Company and a member of the Audit Committee of the Company, effective immediately. Mr. Cohen was appointed as a Class II independent director of the Company for an initial term expiring at the Company’s 2028 annual general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Cohen (60) spent 32 years at Morgan Stanley Investment Management, where he was a Managing Director from December 2004 until his retirement in January 2026, having begun his career there in May 1993. He currently serves as a member of the Consumer Collective of Optimal Advisory. Mr. Cohen formerly served as a board observer of Blue Bottle Coffee from January 2014 to May 2017. He holds a B.S. in Management from Pace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(i) family relationships between Mr. Cohen and any other directors or executive officers of the Company nor (ii) related party transactions involving Mr. Cohen that necessitate disclosure pursuant to Item 7.B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This Report of Foreign Private Issuer on Form 6-K (“Report”) is incorporated by reference into the Company’s Registration Statements on Form S-8 (File Nos. </w:t>
      </w:r>
      <w:hyperlink r:id="rId2">
        <w:r>
          <w:rPr>
            <w:rStyle w:val="InternetLink"/>
            <w:rFonts w:ascii="Times New Roman;Times;Serif" w:hAnsi="Times New Roman;Times;Serif"/>
            <w:b w:val="false"/>
            <w:i w:val="false"/>
            <w:caps w:val="false"/>
            <w:smallCaps w:val="false"/>
            <w:sz w:val="20"/>
          </w:rPr>
          <w:t>333-296510</w:t>
        </w:r>
      </w:hyperlink>
      <w:r>
        <w:rPr>
          <w:rFonts w:ascii="Times New Roman;Times;Serif" w:hAnsi="Times New Roman;Times;Serif"/>
          <w:b w:val="false"/>
          <w:i w:val="false"/>
          <w:caps w:val="false"/>
          <w:smallCaps w:val="false"/>
          <w:sz w:val="20"/>
        </w:rPr>
        <w:t xml:space="preserve"> and </w:t>
      </w:r>
      <w:hyperlink r:id="rId3">
        <w:r>
          <w:rPr>
            <w:rStyle w:val="InternetLink"/>
            <w:rFonts w:ascii="Times New Roman;Times;Serif" w:hAnsi="Times New Roman;Times;Serif"/>
            <w:b w:val="false"/>
            <w:i w:val="false"/>
            <w:caps w:val="false"/>
            <w:smallCaps w:val="false"/>
            <w:sz w:val="20"/>
          </w:rPr>
          <w:t>333-274796</w:t>
        </w:r>
      </w:hyperlink>
      <w:r>
        <w:rPr>
          <w:rFonts w:ascii="Times New Roman;Times;Serif" w:hAnsi="Times New Roman;Times;Serif"/>
          <w:b w:val="false"/>
          <w:i w:val="false"/>
          <w:caps w:val="false"/>
          <w:smallCaps w:val="false"/>
          <w:sz w:val="20"/>
        </w:rPr>
        <w:t>) filed with the Securities and Exchange Commission, to be a part thereof from the date on which this Report is submitted,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56" w:right="244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10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320"/>
        <w:gridCol w:w="2990"/>
      </w:tblGrid>
      <w:tr>
        <w:trPr/>
        <w:tc>
          <w:tcPr>
            <w:tcW w:w="75" w:type="dxa"/>
            <w:tcBorders/>
            <w:vAlign w:val="center"/>
          </w:tcPr>
          <w:p>
            <w:pPr>
              <w:pStyle w:val="TableContents"/>
              <w:bidi w:val="0"/>
              <w:spacing w:before="0" w:after="283"/>
              <w:jc w:val="center"/>
              <w:rPr/>
            </w:pPr>
            <w:r>
              <w:rPr/>
              <w:t> </w:t>
            </w:r>
          </w:p>
        </w:tc>
        <w:tc>
          <w:tcPr>
            <w:tcW w:w="3310" w:type="dxa"/>
            <w:gridSpan w:val="2"/>
            <w:tcBorders/>
            <w:vAlign w:val="center"/>
          </w:tcPr>
          <w:p>
            <w:pPr>
              <w:pStyle w:val="TableContents"/>
              <w:bidi w:val="0"/>
              <w:spacing w:before="0" w:after="283"/>
              <w:jc w:val="left"/>
              <w:rPr>
                <w:b/>
                <w:sz w:val="20"/>
              </w:rPr>
            </w:pPr>
            <w:r>
              <w:rPr>
                <w:b/>
                <w:sz w:val="20"/>
              </w:rPr>
              <w:t>ODDITY TECH LTD.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990" w:type="dxa"/>
            <w:tcBorders>
              <w:bottom w:val="single" w:sz="8" w:space="0" w:color="000000"/>
            </w:tcBorders>
            <w:tcMar>
              <w:bottom w:w="28" w:type="dxa"/>
            </w:tcMar>
            <w:vAlign w:val="center"/>
          </w:tcPr>
          <w:p>
            <w:pPr>
              <w:pStyle w:val="TableContents"/>
              <w:bidi w:val="0"/>
              <w:spacing w:before="0" w:after="283"/>
              <w:jc w:val="left"/>
              <w:rPr>
                <w:strike w:val="false"/>
                <w:dstrike w:val="false"/>
                <w:sz w:val="20"/>
                <w:u w:val="none"/>
                <w:effect w:val="none"/>
              </w:rPr>
            </w:pPr>
            <w:r>
              <w:rPr>
                <w:strike w:val="false"/>
                <w:dstrike w:val="false"/>
                <w:sz w:val="20"/>
                <w:u w:val="none"/>
                <w:effect w:val="none"/>
              </w:rPr>
              <w:t>/s/ Lindsay Drucker Mann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sz w:val="20"/>
              </w:rPr>
            </w:pPr>
            <w:r>
              <w:rPr>
                <w:sz w:val="20"/>
              </w:rPr>
              <w:t>Name: Lindsay Drucker Mann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left"/>
              <w:rPr>
                <w:sz w:val="20"/>
              </w:rPr>
            </w:pPr>
            <w:r>
              <w:rPr>
                <w:sz w:val="20"/>
              </w:rPr>
              <w:t>Title: Global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07085/000110465926070602/tm2616832d1_s8.htm" TargetMode="External"/><Relationship Id="rId3" Type="http://schemas.openxmlformats.org/officeDocument/2006/relationships/hyperlink" Target="https://www.sec.gov/Archives/edgar/data/1907085/000110465923105377/tm2327153d1_s8.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380</Words>
  <Characters>1987</Characters>
  <CharactersWithSpaces>2377</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