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filed with the United States Securities and Exchange Commission on June 4, 2026</w:t>
      </w:r>
    </w:p>
    <w:p>
      <w:pPr>
        <w:spacing w:after="0" w:line="30" w:lineRule="exact"/>
        <w:rPr>
          <w:sz w:val="24"/>
          <w:szCs w:val="24"/>
          <w:color w:val="auto"/>
        </w:rPr>
      </w:pPr>
    </w:p>
    <w:p>
      <w:pPr>
        <w:ind w:left="9180"/>
        <w:spacing w:after="0"/>
        <w:rPr>
          <w:sz w:val="20"/>
          <w:szCs w:val="20"/>
          <w:color w:val="auto"/>
        </w:rPr>
      </w:pPr>
      <w:r>
        <w:rPr>
          <w:rFonts w:ascii="Times New Roman" w:cs="Times New Roman" w:eastAsia="Times New Roman" w:hAnsi="Times New Roman"/>
          <w:sz w:val="17"/>
          <w:szCs w:val="17"/>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71335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45085</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137160</wp:posOffset>
            </wp:positionV>
            <wp:extent cx="71335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3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2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REGISTRATION STATEMENT</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UNDER</w:t>
      </w: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137160</wp:posOffset>
            </wp:positionV>
            <wp:extent cx="71335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4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ODDITY Tech Ltd.</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139065</wp:posOffset>
            </wp:positionV>
            <wp:extent cx="71335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464" w:right="339" w:bottom="503" w:gutter="0" w:footer="0" w:header="0"/>
        </w:sectPr>
      </w:pPr>
    </w:p>
    <w:p>
      <w:pPr>
        <w:spacing w:after="0" w:line="200" w:lineRule="exact"/>
        <w:rPr>
          <w:sz w:val="24"/>
          <w:szCs w:val="24"/>
          <w:color w:val="auto"/>
        </w:rPr>
      </w:pPr>
    </w:p>
    <w:p>
      <w:pPr>
        <w:spacing w:after="0" w:line="237" w:lineRule="exact"/>
        <w:rPr>
          <w:sz w:val="24"/>
          <w:szCs w:val="24"/>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State of Israel</w:t>
      </w:r>
    </w:p>
    <w:p>
      <w:pPr>
        <w:spacing w:after="0" w:line="30"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7"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7" w:lineRule="exact"/>
        <w:rPr>
          <w:sz w:val="24"/>
          <w:szCs w:val="24"/>
          <w:color w:val="auto"/>
        </w:rPr>
      </w:pPr>
    </w:p>
    <w:p>
      <w:pPr>
        <w:jc w:val="center"/>
        <w:ind w:right="19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0" w:lineRule="exact"/>
        <w:rPr>
          <w:sz w:val="24"/>
          <w:szCs w:val="24"/>
          <w:color w:val="auto"/>
        </w:rPr>
      </w:pPr>
    </w:p>
    <w:p>
      <w:pPr>
        <w:jc w:val="center"/>
        <w:ind w:right="1920"/>
        <w:spacing w:after="0"/>
        <w:rPr>
          <w:sz w:val="20"/>
          <w:szCs w:val="20"/>
          <w:color w:val="auto"/>
        </w:rPr>
      </w:pPr>
      <w:r>
        <w:rPr>
          <w:rFonts w:ascii="Times New Roman" w:cs="Times New Roman" w:eastAsia="Times New Roman" w:hAnsi="Times New Roman"/>
          <w:sz w:val="18"/>
          <w:szCs w:val="18"/>
          <w:color w:val="auto"/>
        </w:rPr>
        <w:t>(I.R.S. Employer</w:t>
      </w:r>
    </w:p>
    <w:p>
      <w:pPr>
        <w:spacing w:after="0" w:line="7" w:lineRule="exact"/>
        <w:rPr>
          <w:sz w:val="24"/>
          <w:szCs w:val="24"/>
          <w:color w:val="auto"/>
        </w:rPr>
      </w:pPr>
    </w:p>
    <w:p>
      <w:pPr>
        <w:jc w:val="center"/>
        <w:ind w:right="1920"/>
        <w:spacing w:after="0"/>
        <w:rPr>
          <w:sz w:val="20"/>
          <w:szCs w:val="20"/>
          <w:color w:val="auto"/>
        </w:rPr>
      </w:pPr>
      <w:r>
        <w:rPr>
          <w:rFonts w:ascii="Times New Roman" w:cs="Times New Roman" w:eastAsia="Times New Roman" w:hAnsi="Times New Roman"/>
          <w:sz w:val="17"/>
          <w:szCs w:val="17"/>
          <w:color w:val="auto"/>
        </w:rPr>
        <w:t>Identification Number)</w:t>
      </w:r>
    </w:p>
    <w:p>
      <w:pPr>
        <w:spacing w:after="0" w:line="200" w:lineRule="exact"/>
        <w:rPr>
          <w:sz w:val="24"/>
          <w:szCs w:val="24"/>
          <w:color w:val="auto"/>
        </w:rPr>
      </w:pPr>
    </w:p>
    <w:p>
      <w:pPr>
        <w:sectPr>
          <w:pgSz w:w="11900" w:h="16838" w:orient="portrait"/>
          <w:cols w:equalWidth="0" w:num="2">
            <w:col w:w="6940" w:space="720"/>
            <w:col w:w="3580"/>
          </w:cols>
          <w:pgMar w:left="320" w:top="464" w:right="339" w:bottom="503" w:gutter="0" w:footer="0" w:header="0"/>
          <w:type w:val="continuous"/>
        </w:sectPr>
      </w:pP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ODDITY Tech Ltd.</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 HaHarash Street</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Tel Aviv-Jaffa, 6761304, Israel</w:t>
      </w:r>
    </w:p>
    <w:p>
      <w:pPr>
        <w:sectPr>
          <w:pgSz w:w="11900" w:h="16838" w:orient="portrait"/>
          <w:cols w:equalWidth="0" w:num="1">
            <w:col w:w="11240"/>
          </w:cols>
          <w:pgMar w:left="320" w:top="464" w:right="339" w:bottom="503" w:gutter="0" w:footer="0" w:header="0"/>
          <w:type w:val="continuous"/>
        </w:sectPr>
      </w:pP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139700</wp:posOffset>
            </wp:positionV>
            <wp:extent cx="71335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ODDITY Tech Ltd. 2023 Incentive Award Plan</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139700</wp:posOffset>
            </wp:positionV>
            <wp:extent cx="71335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ODDITY Tech US Inc.</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110 Greene Street</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10012</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(551) 751-7495</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139700</wp:posOffset>
            </wp:positionV>
            <wp:extent cx="71335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tbl>
      <w:tblPr>
        <w:tblLayout w:type="fixed"/>
        <w:tblInd w:w="1560" w:type="dxa"/>
        <w:tblCellMar>
          <w:top w:w="0" w:type="dxa"/>
          <w:left w:w="0" w:type="dxa"/>
          <w:bottom w:w="0" w:type="dxa"/>
          <w:right w:w="0" w:type="dxa"/>
        </w:tblCellMar>
      </w:tblPr>
      <w:tr>
        <w:trPr>
          <w:trHeight w:val="237"/>
        </w:trPr>
        <w:tc>
          <w:tcPr>
            <w:tcW w:w="3040" w:type="dxa"/>
            <w:vAlign w:val="bottom"/>
          </w:tcPr>
          <w:p>
            <w:pPr>
              <w:spacing w:after="0"/>
              <w:rPr>
                <w:sz w:val="20"/>
                <w:szCs w:val="20"/>
                <w:color w:val="auto"/>
              </w:rPr>
            </w:pPr>
          </w:p>
        </w:tc>
        <w:tc>
          <w:tcPr>
            <w:tcW w:w="480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Copies to:</w:t>
            </w:r>
          </w:p>
        </w:tc>
      </w:tr>
      <w:tr>
        <w:trPr>
          <w:trHeight w:val="405"/>
        </w:trPr>
        <w:tc>
          <w:tcPr>
            <w:tcW w:w="3040" w:type="dxa"/>
            <w:vAlign w:val="bottom"/>
          </w:tcPr>
          <w:p>
            <w:pPr>
              <w:jc w:val="center"/>
              <w:ind w:right="531"/>
              <w:spacing w:after="0"/>
              <w:rPr>
                <w:sz w:val="20"/>
                <w:szCs w:val="20"/>
                <w:color w:val="auto"/>
              </w:rPr>
            </w:pPr>
            <w:r>
              <w:rPr>
                <w:rFonts w:ascii="Times New Roman" w:cs="Times New Roman" w:eastAsia="Times New Roman" w:hAnsi="Times New Roman"/>
                <w:sz w:val="18"/>
                <w:szCs w:val="18"/>
                <w:b w:val="1"/>
                <w:bCs w:val="1"/>
                <w:color w:val="auto"/>
                <w:w w:val="99"/>
              </w:rPr>
              <w:t>Joseph D. Zavaglia</w:t>
            </w:r>
          </w:p>
        </w:tc>
        <w:tc>
          <w:tcPr>
            <w:tcW w:w="4800" w:type="dxa"/>
            <w:vAlign w:val="bottom"/>
          </w:tcPr>
          <w:p>
            <w:pPr>
              <w:jc w:val="center"/>
              <w:ind w:left="2891"/>
              <w:spacing w:after="0"/>
              <w:rPr>
                <w:sz w:val="20"/>
                <w:szCs w:val="20"/>
                <w:color w:val="auto"/>
              </w:rPr>
            </w:pPr>
            <w:r>
              <w:rPr>
                <w:rFonts w:ascii="Times New Roman" w:cs="Times New Roman" w:eastAsia="Times New Roman" w:hAnsi="Times New Roman"/>
                <w:sz w:val="18"/>
                <w:szCs w:val="18"/>
                <w:b w:val="1"/>
                <w:bCs w:val="1"/>
                <w:color w:val="auto"/>
                <w:w w:val="96"/>
              </w:rPr>
              <w:t>Ran Hai</w:t>
            </w:r>
          </w:p>
        </w:tc>
      </w:tr>
      <w:tr>
        <w:trPr>
          <w:trHeight w:val="214"/>
        </w:trPr>
        <w:tc>
          <w:tcPr>
            <w:tcW w:w="3040" w:type="dxa"/>
            <w:vAlign w:val="bottom"/>
          </w:tcPr>
          <w:p>
            <w:pPr>
              <w:jc w:val="center"/>
              <w:ind w:right="531"/>
              <w:spacing w:after="0"/>
              <w:rPr>
                <w:sz w:val="20"/>
                <w:szCs w:val="20"/>
                <w:color w:val="auto"/>
              </w:rPr>
            </w:pPr>
            <w:r>
              <w:rPr>
                <w:rFonts w:ascii="Times New Roman" w:cs="Times New Roman" w:eastAsia="Times New Roman" w:hAnsi="Times New Roman"/>
                <w:sz w:val="18"/>
                <w:szCs w:val="18"/>
                <w:b w:val="1"/>
                <w:bCs w:val="1"/>
                <w:color w:val="auto"/>
                <w:w w:val="98"/>
              </w:rPr>
              <w:t>Jonathan J. Katz</w:t>
            </w:r>
          </w:p>
        </w:tc>
        <w:tc>
          <w:tcPr>
            <w:tcW w:w="4800" w:type="dxa"/>
            <w:vAlign w:val="bottom"/>
          </w:tcPr>
          <w:p>
            <w:pPr>
              <w:jc w:val="center"/>
              <w:ind w:left="2891"/>
              <w:spacing w:after="0"/>
              <w:rPr>
                <w:sz w:val="20"/>
                <w:szCs w:val="20"/>
                <w:color w:val="auto"/>
              </w:rPr>
            </w:pPr>
            <w:r>
              <w:rPr>
                <w:rFonts w:ascii="Times New Roman" w:cs="Times New Roman" w:eastAsia="Times New Roman" w:hAnsi="Times New Roman"/>
                <w:sz w:val="18"/>
                <w:szCs w:val="18"/>
                <w:b w:val="1"/>
                <w:bCs w:val="1"/>
                <w:color w:val="auto"/>
              </w:rPr>
              <w:t>Nir Dash</w:t>
            </w:r>
          </w:p>
        </w:tc>
      </w:tr>
      <w:tr>
        <w:trPr>
          <w:trHeight w:val="214"/>
        </w:trPr>
        <w:tc>
          <w:tcPr>
            <w:tcW w:w="3040" w:type="dxa"/>
            <w:vAlign w:val="bottom"/>
          </w:tcPr>
          <w:p>
            <w:pPr>
              <w:jc w:val="center"/>
              <w:ind w:right="551"/>
              <w:spacing w:after="0"/>
              <w:rPr>
                <w:sz w:val="20"/>
                <w:szCs w:val="20"/>
                <w:color w:val="auto"/>
              </w:rPr>
            </w:pPr>
            <w:r>
              <w:rPr>
                <w:rFonts w:ascii="Times New Roman" w:cs="Times New Roman" w:eastAsia="Times New Roman" w:hAnsi="Times New Roman"/>
                <w:sz w:val="18"/>
                <w:szCs w:val="18"/>
                <w:b w:val="1"/>
                <w:bCs w:val="1"/>
                <w:color w:val="auto"/>
                <w:w w:val="98"/>
              </w:rPr>
              <w:t>Cravath, Swaine &amp; Moore LLP</w:t>
            </w:r>
          </w:p>
        </w:tc>
        <w:tc>
          <w:tcPr>
            <w:tcW w:w="4800" w:type="dxa"/>
            <w:vAlign w:val="bottom"/>
          </w:tcPr>
          <w:p>
            <w:pPr>
              <w:jc w:val="center"/>
              <w:ind w:left="2891"/>
              <w:spacing w:after="0"/>
              <w:rPr>
                <w:sz w:val="20"/>
                <w:szCs w:val="20"/>
                <w:color w:val="auto"/>
              </w:rPr>
            </w:pPr>
            <w:r>
              <w:rPr>
                <w:rFonts w:ascii="Times New Roman" w:cs="Times New Roman" w:eastAsia="Times New Roman" w:hAnsi="Times New Roman"/>
                <w:sz w:val="18"/>
                <w:szCs w:val="18"/>
                <w:b w:val="1"/>
                <w:bCs w:val="1"/>
                <w:color w:val="auto"/>
                <w:w w:val="97"/>
              </w:rPr>
              <w:t>Joshua Ravitz</w:t>
            </w:r>
          </w:p>
        </w:tc>
      </w:tr>
      <w:tr>
        <w:trPr>
          <w:trHeight w:val="214"/>
        </w:trPr>
        <w:tc>
          <w:tcPr>
            <w:tcW w:w="3040" w:type="dxa"/>
            <w:vAlign w:val="bottom"/>
          </w:tcPr>
          <w:p>
            <w:pPr>
              <w:jc w:val="center"/>
              <w:ind w:right="551"/>
              <w:spacing w:after="0"/>
              <w:rPr>
                <w:sz w:val="20"/>
                <w:szCs w:val="20"/>
                <w:color w:val="auto"/>
              </w:rPr>
            </w:pPr>
            <w:r>
              <w:rPr>
                <w:rFonts w:ascii="Times New Roman" w:cs="Times New Roman" w:eastAsia="Times New Roman" w:hAnsi="Times New Roman"/>
                <w:sz w:val="18"/>
                <w:szCs w:val="18"/>
                <w:b w:val="1"/>
                <w:bCs w:val="1"/>
                <w:color w:val="auto"/>
                <w:w w:val="97"/>
              </w:rPr>
              <w:t>Two Manhattan West</w:t>
            </w:r>
          </w:p>
        </w:tc>
        <w:tc>
          <w:tcPr>
            <w:tcW w:w="4800" w:type="dxa"/>
            <w:vAlign w:val="bottom"/>
          </w:tcPr>
          <w:p>
            <w:pPr>
              <w:jc w:val="center"/>
              <w:ind w:left="2891"/>
              <w:spacing w:after="0"/>
              <w:rPr>
                <w:sz w:val="20"/>
                <w:szCs w:val="20"/>
                <w:color w:val="auto"/>
              </w:rPr>
            </w:pPr>
            <w:r>
              <w:rPr>
                <w:rFonts w:ascii="Times New Roman" w:cs="Times New Roman" w:eastAsia="Times New Roman" w:hAnsi="Times New Roman"/>
                <w:sz w:val="18"/>
                <w:szCs w:val="18"/>
                <w:b w:val="1"/>
                <w:bCs w:val="1"/>
                <w:color w:val="auto"/>
                <w:w w:val="99"/>
              </w:rPr>
              <w:t>Itay Lavi</w:t>
            </w:r>
          </w:p>
        </w:tc>
      </w:tr>
      <w:tr>
        <w:trPr>
          <w:trHeight w:val="214"/>
        </w:trPr>
        <w:tc>
          <w:tcPr>
            <w:tcW w:w="3040" w:type="dxa"/>
            <w:vAlign w:val="bottom"/>
          </w:tcPr>
          <w:p>
            <w:pPr>
              <w:jc w:val="center"/>
              <w:ind w:right="551"/>
              <w:spacing w:after="0"/>
              <w:rPr>
                <w:sz w:val="20"/>
                <w:szCs w:val="20"/>
                <w:color w:val="auto"/>
              </w:rPr>
            </w:pPr>
            <w:r>
              <w:rPr>
                <w:rFonts w:ascii="Times New Roman" w:cs="Times New Roman" w:eastAsia="Times New Roman" w:hAnsi="Times New Roman"/>
                <w:sz w:val="18"/>
                <w:szCs w:val="18"/>
                <w:b w:val="1"/>
                <w:bCs w:val="1"/>
                <w:color w:val="auto"/>
                <w:w w:val="98"/>
              </w:rPr>
              <w:t>375 Ninth Avenue</w:t>
            </w:r>
          </w:p>
        </w:tc>
        <w:tc>
          <w:tcPr>
            <w:tcW w:w="4800" w:type="dxa"/>
            <w:vAlign w:val="bottom"/>
          </w:tcPr>
          <w:p>
            <w:pPr>
              <w:jc w:val="center"/>
              <w:ind w:left="2891"/>
              <w:spacing w:after="0"/>
              <w:rPr>
                <w:sz w:val="20"/>
                <w:szCs w:val="20"/>
                <w:color w:val="auto"/>
              </w:rPr>
            </w:pPr>
            <w:r>
              <w:rPr>
                <w:rFonts w:ascii="Times New Roman" w:cs="Times New Roman" w:eastAsia="Times New Roman" w:hAnsi="Times New Roman"/>
                <w:sz w:val="18"/>
                <w:szCs w:val="18"/>
                <w:b w:val="1"/>
                <w:bCs w:val="1"/>
                <w:color w:val="auto"/>
                <w:w w:val="98"/>
              </w:rPr>
              <w:t>Herzog Fox &amp; Neeman</w:t>
            </w:r>
          </w:p>
        </w:tc>
      </w:tr>
      <w:tr>
        <w:trPr>
          <w:trHeight w:val="214"/>
        </w:trPr>
        <w:tc>
          <w:tcPr>
            <w:tcW w:w="3040" w:type="dxa"/>
            <w:vAlign w:val="bottom"/>
          </w:tcPr>
          <w:p>
            <w:pPr>
              <w:jc w:val="center"/>
              <w:ind w:right="531"/>
              <w:spacing w:after="0"/>
              <w:rPr>
                <w:sz w:val="20"/>
                <w:szCs w:val="20"/>
                <w:color w:val="auto"/>
              </w:rPr>
            </w:pPr>
            <w:r>
              <w:rPr>
                <w:rFonts w:ascii="Times New Roman" w:cs="Times New Roman" w:eastAsia="Times New Roman" w:hAnsi="Times New Roman"/>
                <w:sz w:val="18"/>
                <w:szCs w:val="18"/>
                <w:b w:val="1"/>
                <w:bCs w:val="1"/>
                <w:color w:val="auto"/>
                <w:w w:val="97"/>
              </w:rPr>
              <w:t>New York, New York 10001</w:t>
            </w:r>
          </w:p>
        </w:tc>
        <w:tc>
          <w:tcPr>
            <w:tcW w:w="4800" w:type="dxa"/>
            <w:vAlign w:val="bottom"/>
          </w:tcPr>
          <w:p>
            <w:pPr>
              <w:jc w:val="center"/>
              <w:ind w:left="2891"/>
              <w:spacing w:after="0"/>
              <w:rPr>
                <w:sz w:val="20"/>
                <w:szCs w:val="20"/>
                <w:color w:val="auto"/>
              </w:rPr>
            </w:pPr>
            <w:r>
              <w:rPr>
                <w:rFonts w:ascii="Times New Roman" w:cs="Times New Roman" w:eastAsia="Times New Roman" w:hAnsi="Times New Roman"/>
                <w:sz w:val="18"/>
                <w:szCs w:val="18"/>
                <w:b w:val="1"/>
                <w:bCs w:val="1"/>
                <w:color w:val="auto"/>
                <w:w w:val="99"/>
              </w:rPr>
              <w:t>6 Yitzhak Sadeh St</w:t>
            </w:r>
          </w:p>
        </w:tc>
      </w:tr>
      <w:tr>
        <w:trPr>
          <w:trHeight w:val="214"/>
        </w:trPr>
        <w:tc>
          <w:tcPr>
            <w:tcW w:w="3040" w:type="dxa"/>
            <w:vAlign w:val="bottom"/>
          </w:tcPr>
          <w:p>
            <w:pPr>
              <w:jc w:val="center"/>
              <w:ind w:right="551"/>
              <w:spacing w:after="0"/>
              <w:rPr>
                <w:sz w:val="20"/>
                <w:szCs w:val="20"/>
                <w:color w:val="auto"/>
              </w:rPr>
            </w:pPr>
            <w:r>
              <w:rPr>
                <w:rFonts w:ascii="Times New Roman" w:cs="Times New Roman" w:eastAsia="Times New Roman" w:hAnsi="Times New Roman"/>
                <w:sz w:val="18"/>
                <w:szCs w:val="18"/>
                <w:b w:val="1"/>
                <w:bCs w:val="1"/>
                <w:color w:val="auto"/>
                <w:w w:val="99"/>
              </w:rPr>
              <w:t>(212) 474-1000</w:t>
            </w:r>
          </w:p>
        </w:tc>
        <w:tc>
          <w:tcPr>
            <w:tcW w:w="4800" w:type="dxa"/>
            <w:vAlign w:val="bottom"/>
          </w:tcPr>
          <w:p>
            <w:pPr>
              <w:jc w:val="center"/>
              <w:ind w:left="2891"/>
              <w:spacing w:after="0"/>
              <w:rPr>
                <w:sz w:val="20"/>
                <w:szCs w:val="20"/>
                <w:color w:val="auto"/>
              </w:rPr>
            </w:pPr>
            <w:r>
              <w:rPr>
                <w:rFonts w:ascii="Times New Roman" w:cs="Times New Roman" w:eastAsia="Times New Roman" w:hAnsi="Times New Roman"/>
                <w:sz w:val="18"/>
                <w:szCs w:val="18"/>
                <w:b w:val="1"/>
                <w:bCs w:val="1"/>
                <w:color w:val="auto"/>
                <w:w w:val="97"/>
              </w:rPr>
              <w:t>Tel Aviv 6777506, Israel</w:t>
            </w:r>
          </w:p>
        </w:tc>
      </w:tr>
      <w:tr>
        <w:trPr>
          <w:trHeight w:val="214"/>
        </w:trPr>
        <w:tc>
          <w:tcPr>
            <w:tcW w:w="3040" w:type="dxa"/>
            <w:vAlign w:val="bottom"/>
          </w:tcPr>
          <w:p>
            <w:pPr>
              <w:spacing w:after="0"/>
              <w:rPr>
                <w:sz w:val="18"/>
                <w:szCs w:val="18"/>
                <w:color w:val="auto"/>
              </w:rPr>
            </w:pPr>
          </w:p>
        </w:tc>
        <w:tc>
          <w:tcPr>
            <w:tcW w:w="4800" w:type="dxa"/>
            <w:vAlign w:val="bottom"/>
          </w:tcPr>
          <w:p>
            <w:pPr>
              <w:jc w:val="center"/>
              <w:ind w:left="2891"/>
              <w:spacing w:after="0"/>
              <w:rPr>
                <w:sz w:val="20"/>
                <w:szCs w:val="20"/>
                <w:color w:val="auto"/>
              </w:rPr>
            </w:pPr>
            <w:r>
              <w:rPr>
                <w:rFonts w:ascii="Times New Roman" w:cs="Times New Roman" w:eastAsia="Times New Roman" w:hAnsi="Times New Roman"/>
                <w:sz w:val="18"/>
                <w:szCs w:val="18"/>
                <w:b w:val="1"/>
                <w:bCs w:val="1"/>
                <w:color w:val="auto"/>
                <w:w w:val="98"/>
              </w:rPr>
              <w:t>Tel: (972) (3) 692 2020</w:t>
            </w:r>
          </w:p>
        </w:tc>
      </w:tr>
      <w:tr>
        <w:trPr>
          <w:trHeight w:val="237"/>
        </w:trPr>
        <w:tc>
          <w:tcPr>
            <w:tcW w:w="3040" w:type="dxa"/>
            <w:vAlign w:val="bottom"/>
          </w:tcPr>
          <w:p>
            <w:pPr>
              <w:spacing w:after="0"/>
              <w:rPr>
                <w:sz w:val="20"/>
                <w:szCs w:val="20"/>
                <w:color w:val="auto"/>
              </w:rPr>
            </w:pPr>
          </w:p>
        </w:tc>
        <w:tc>
          <w:tcPr>
            <w:tcW w:w="4800" w:type="dxa"/>
            <w:vAlign w:val="bottom"/>
          </w:tcPr>
          <w:p>
            <w:pPr>
              <w:jc w:val="center"/>
              <w:ind w:left="2891"/>
              <w:spacing w:after="0"/>
              <w:rPr>
                <w:sz w:val="20"/>
                <w:szCs w:val="20"/>
                <w:color w:val="auto"/>
              </w:rPr>
            </w:pPr>
            <w:r>
              <w:rPr>
                <w:rFonts w:ascii="Times New Roman" w:cs="Times New Roman" w:eastAsia="Times New Roman" w:hAnsi="Times New Roman"/>
                <w:sz w:val="18"/>
                <w:szCs w:val="18"/>
                <w:b w:val="1"/>
                <w:bCs w:val="1"/>
                <w:color w:val="auto"/>
                <w:w w:val="98"/>
              </w:rPr>
              <w:t>Fax: (972) (3) 696 6464</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135255</wp:posOffset>
            </wp:positionV>
            <wp:extent cx="71335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 as amended (the “Exchange Act”).</w:t>
      </w: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301"/>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0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38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Accelerated filer</w:t>
            </w:r>
          </w:p>
        </w:tc>
        <w:tc>
          <w:tcPr>
            <w:tcW w:w="76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r>
      <w:tr>
        <w:trPr>
          <w:trHeight w:val="427"/>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0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38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6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r>
      <w:tr>
        <w:trPr>
          <w:trHeight w:val="427"/>
        </w:trPr>
        <w:tc>
          <w:tcPr>
            <w:tcW w:w="17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38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76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r>
      <w:tr>
        <w:trPr>
          <w:trHeight w:val="172"/>
        </w:trPr>
        <w:tc>
          <w:tcPr>
            <w:tcW w:w="170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tcPr>
          <w:p>
            <w:pPr>
              <w:spacing w:after="0"/>
              <w:rPr>
                <w:sz w:val="14"/>
                <w:szCs w:val="14"/>
                <w:color w:val="auto"/>
              </w:rPr>
            </w:pPr>
          </w:p>
        </w:tc>
        <w:tc>
          <w:tcPr>
            <w:tcW w:w="5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r>
    </w:tbl>
    <w:p>
      <w:pPr>
        <w:spacing w:after="0" w:line="222" w:lineRule="exact"/>
        <w:rPr>
          <w:sz w:val="24"/>
          <w:szCs w:val="24"/>
          <w:color w:val="auto"/>
        </w:rPr>
      </w:pPr>
    </w:p>
    <w:p>
      <w:pPr>
        <w:jc w:val="both"/>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of 1933, as amended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117475</wp:posOffset>
            </wp:positionV>
            <wp:extent cx="71335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142875</wp:posOffset>
            </wp:positionV>
            <wp:extent cx="71335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584200</wp:posOffset>
            </wp:positionV>
            <wp:extent cx="713359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3590" cy="5715"/>
                    </a:xfrm>
                    <a:prstGeom prst="rect">
                      <a:avLst/>
                    </a:prstGeom>
                    <a:noFill/>
                  </pic:spPr>
                </pic:pic>
              </a:graphicData>
            </a:graphic>
          </wp:anchor>
        </w:drawing>
      </w:r>
    </w:p>
    <w:p>
      <w:pPr>
        <w:sectPr>
          <w:pgSz w:w="11900" w:h="16838" w:orient="portrait"/>
          <w:cols w:equalWidth="0" w:num="1">
            <w:col w:w="11240"/>
          </w:cols>
          <w:pgMar w:left="320" w:top="464" w:right="339" w:bottom="503"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OF ADDITIONAL SECURITIES PURSUANT TO GENERAL INSTRUCTION E</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Registration Statement on Form S-8 (this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is being filed for the purpose of increasing the number of securities of the same class as other securities for which a registration statement of ODDITY Tech Ltd. (the “</w:t>
      </w: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 on Form S-8 relating to the same employee benefit plan is effective. The Registrant previously registered shares of its Class A ordinary shares, par value NIS 0.001 per share, for issuance under its 2023 Incentive Award Plan under a Registration Statement on Form S-8,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on September 29, 2023 (File No. 333-274796) (the “</w:t>
      </w:r>
      <w:r>
        <w:rPr>
          <w:rFonts w:ascii="Times New Roman" w:cs="Times New Roman" w:eastAsia="Times New Roman" w:hAnsi="Times New Roman"/>
          <w:sz w:val="18"/>
          <w:szCs w:val="18"/>
          <w:b w:val="1"/>
          <w:bCs w:val="1"/>
          <w:color w:val="auto"/>
        </w:rPr>
        <w:t>Previous Registration Statement</w:t>
      </w:r>
      <w:r>
        <w:rPr>
          <w:rFonts w:ascii="Times New Roman" w:cs="Times New Roman" w:eastAsia="Times New Roman" w:hAnsi="Times New Roman"/>
          <w:sz w:val="18"/>
          <w:szCs w:val="18"/>
          <w:color w:val="auto"/>
        </w:rPr>
        <w:t>”). Pursuant to General Instruction E to Form S-8, the Registrant hereby incorporates by reference herein the contents of the Previous Registration Statement, and hereby deems the contents of the Previous Registration Statement to be a part of this Registration Statement, in each case except as supplemented, amended or superseded by the information set forth below herein.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following documents previously filed with or furnished to the Commission by the Registrant are incorporated by reference herein and shall be deemed to be part hereof:</w:t>
      </w:r>
    </w:p>
    <w:p>
      <w:pPr>
        <w:spacing w:after="0" w:line="163" w:lineRule="exact"/>
        <w:rPr>
          <w:sz w:val="20"/>
          <w:szCs w:val="20"/>
          <w:color w:val="auto"/>
        </w:rPr>
      </w:pPr>
    </w:p>
    <w:p>
      <w:pPr>
        <w:ind w:left="640" w:hanging="313"/>
        <w:spacing w:after="0" w:line="258" w:lineRule="auto"/>
        <w:tabs>
          <w:tab w:leader="none" w:pos="640" w:val="left"/>
        </w:tabs>
        <w:numPr>
          <w:ilvl w:val="0"/>
          <w:numId w:val="1"/>
        </w:numPr>
        <w:rPr>
          <w:rFonts w:ascii="Times New Roman" w:cs="Times New Roman" w:eastAsia="Times New Roman" w:hAnsi="Times New Roman"/>
          <w:sz w:val="18"/>
          <w:szCs w:val="18"/>
          <w:u w:val="single" w:color="auto"/>
          <w:color w:val="0000EE"/>
        </w:rPr>
      </w:pPr>
      <w:hyperlink r:id="rId20">
        <w:r>
          <w:rPr>
            <w:rFonts w:ascii="Times New Roman" w:cs="Times New Roman" w:eastAsia="Times New Roman" w:hAnsi="Times New Roman"/>
            <w:sz w:val="18"/>
            <w:szCs w:val="18"/>
            <w:u w:val="single" w:color="auto"/>
            <w:color w:val="0000EE"/>
          </w:rPr>
          <w:t>Registrant’s Annual Report on Form 20-F for the year ended December 31, 2025, filed with the Commission on March 17, 2026 (File No. 001-</w:t>
        </w:r>
      </w:hyperlink>
      <w:hyperlink r:id="rId20">
        <w:r>
          <w:rPr>
            <w:rFonts w:ascii="Times New Roman" w:cs="Times New Roman" w:eastAsia="Times New Roman" w:hAnsi="Times New Roman"/>
            <w:sz w:val="18"/>
            <w:szCs w:val="18"/>
            <w:u w:val="single" w:color="auto"/>
            <w:color w:val="0000EE"/>
          </w:rPr>
          <w:t>41745);</w:t>
        </w:r>
      </w:hyperlink>
    </w:p>
    <w:p>
      <w:pPr>
        <w:spacing w:after="0" w:line="1" w:lineRule="exact"/>
        <w:rPr>
          <w:rFonts w:ascii="Times New Roman" w:cs="Times New Roman" w:eastAsia="Times New Roman" w:hAnsi="Times New Roman"/>
          <w:sz w:val="18"/>
          <w:szCs w:val="18"/>
          <w:u w:val="single" w:color="auto"/>
          <w:color w:val="0000EE"/>
        </w:rPr>
      </w:pPr>
    </w:p>
    <w:p>
      <w:pPr>
        <w:ind w:left="640" w:hanging="313"/>
        <w:spacing w:after="0"/>
        <w:tabs>
          <w:tab w:leader="none" w:pos="640" w:val="left"/>
        </w:tabs>
        <w:numPr>
          <w:ilvl w:val="0"/>
          <w:numId w:val="1"/>
        </w:numPr>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u w:val="single" w:color="auto"/>
            <w:color w:val="0000EE"/>
          </w:rPr>
          <w:t>Registrant’s Report of Foreign Private Issuer on Form 6-K, furnished to the Commission on June 2, 2026 (File No. 001-41745);</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and</w:t>
      </w:r>
    </w:p>
    <w:p>
      <w:pPr>
        <w:spacing w:after="0" w:line="6" w:lineRule="exact"/>
        <w:rPr>
          <w:rFonts w:ascii="Times New Roman" w:cs="Times New Roman" w:eastAsia="Times New Roman" w:hAnsi="Times New Roman"/>
          <w:sz w:val="18"/>
          <w:szCs w:val="18"/>
          <w:color w:val="0000EE"/>
        </w:rPr>
      </w:pPr>
    </w:p>
    <w:p>
      <w:pPr>
        <w:ind w:left="640" w:hanging="313"/>
        <w:spacing w:after="0" w:line="255" w:lineRule="auto"/>
        <w:tabs>
          <w:tab w:leader="none" w:pos="640" w:val="left"/>
        </w:tabs>
        <w:numPr>
          <w:ilvl w:val="0"/>
          <w:numId w:val="1"/>
        </w:numPr>
        <w:rPr>
          <w:rFonts w:ascii="Times New Roman" w:cs="Times New Roman" w:eastAsia="Times New Roman" w:hAnsi="Times New Roman"/>
          <w:sz w:val="18"/>
          <w:szCs w:val="18"/>
          <w:u w:val="single" w:color="auto"/>
          <w:color w:val="0000EE"/>
        </w:rPr>
      </w:pPr>
      <w:hyperlink r:id="rId22">
        <w:r>
          <w:rPr>
            <w:rFonts w:ascii="Times New Roman" w:cs="Times New Roman" w:eastAsia="Times New Roman" w:hAnsi="Times New Roman"/>
            <w:sz w:val="18"/>
            <w:szCs w:val="18"/>
            <w:u w:val="single" w:color="auto"/>
            <w:color w:val="0000EE"/>
          </w:rPr>
          <w:t>the description of the Registrant’s Class A ordinary shares contained in the Registrant’s Registration Statement on Form 8-A filed with the</w:t>
        </w:r>
      </w:hyperlink>
      <w:r>
        <w:rPr>
          <w:rFonts w:ascii="Times New Roman" w:cs="Times New Roman" w:eastAsia="Times New Roman" w:hAnsi="Times New Roman"/>
          <w:sz w:val="18"/>
          <w:szCs w:val="18"/>
          <w:u w:val="single" w:color="auto"/>
          <w:color w:val="0000EE"/>
        </w:rPr>
        <w:t xml:space="preserve"> </w:t>
      </w:r>
      <w:hyperlink r:id="rId22">
        <w:r>
          <w:rPr>
            <w:rFonts w:ascii="Times New Roman" w:cs="Times New Roman" w:eastAsia="Times New Roman" w:hAnsi="Times New Roman"/>
            <w:sz w:val="18"/>
            <w:szCs w:val="18"/>
            <w:u w:val="single" w:color="auto"/>
            <w:color w:val="0000EE"/>
          </w:rPr>
          <w:t>Commission on July 14, 2023 (File No. 001-41745), together with any amendment thereto filed for the purpose of updating such description.</w:t>
        </w:r>
      </w:hyperlink>
    </w:p>
    <w:p>
      <w:pPr>
        <w:spacing w:after="0" w:line="182" w:lineRule="exact"/>
        <w:rPr>
          <w:rFonts w:ascii="Times New Roman" w:cs="Times New Roman" w:eastAsia="Times New Roman" w:hAnsi="Times New Roman"/>
          <w:sz w:val="18"/>
          <w:szCs w:val="18"/>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 documents subsequently filed by the Registrant pursuant to Sections 13(a), 13(c), 14, and 15(d) of the Exchange Act and certain Reports on Form 6-K furnished by the Registrant to the Commission (which indicate that they are incorporated herein by reference)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a part hereof from the date of the filing or furnishing, as applicable, of such documents.</w:t>
      </w:r>
    </w:p>
    <w:p>
      <w:pPr>
        <w:spacing w:after="0" w:line="183" w:lineRule="exact"/>
        <w:rPr>
          <w:rFonts w:ascii="Times New Roman" w:cs="Times New Roman" w:eastAsia="Times New Roman" w:hAnsi="Times New Roman"/>
          <w:sz w:val="18"/>
          <w:szCs w:val="18"/>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For purposes of this Registration Statement and the related prospectus, any statement contained in a document incorporated or deemed to be incorporated by reference shall be deemed to be modified or superseded to the extent that a statement contained herein or in a subsequently filed document which also is or is deemed to be incorporated herein by reference modifies or replaces such statement. Any statement so modified or superseded shall not constitute a part of this Registration Statement or the related prospectus, except as so modified or superseded.</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4445</wp:posOffset>
            </wp:positionH>
            <wp:positionV relativeFrom="paragraph">
              <wp:posOffset>415925</wp:posOffset>
            </wp:positionV>
            <wp:extent cx="71335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Under the Israeli Companies Law, 5759-1999 (the “Companies Law”), a company may not exculpate an office holder from liability for a breach of the duty of loyalty. An Israeli company may exculpate an office holder in advance from liability, in whole or in part, for damages as a result of a breach of duty of care, but only if a provision authorizing such exculpation is included in its articles of association. Our amended and restated articles of association include such a provision. An Israeli company may not exculpate a director from liability arising out of a prohibited dividend or distribution to shareholders.</w:t>
      </w:r>
    </w:p>
    <w:p>
      <w:pPr>
        <w:spacing w:after="0" w:line="18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An Israeli company may indemnify an office holder in respect of the following liabilities and expenses incurred for acts performed as an office holder, either in advance of an event or following an event, provided a provision authorizing such indemnification is contained in its articles of association:</w:t>
      </w:r>
    </w:p>
    <w:p>
      <w:pPr>
        <w:spacing w:after="0" w:line="163" w:lineRule="exact"/>
        <w:rPr>
          <w:sz w:val="20"/>
          <w:szCs w:val="20"/>
          <w:color w:val="auto"/>
        </w:rPr>
      </w:pPr>
    </w:p>
    <w:p>
      <w:pPr>
        <w:jc w:val="both"/>
        <w:ind w:left="640" w:hanging="313"/>
        <w:spacing w:after="0" w:line="255" w:lineRule="auto"/>
        <w:tabs>
          <w:tab w:leader="none" w:pos="64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financial liability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events and amount or criteria;</w:t>
      </w:r>
    </w:p>
    <w:p>
      <w:pPr>
        <w:spacing w:after="0" w:line="181" w:lineRule="exact"/>
        <w:rPr>
          <w:rFonts w:ascii="Arial" w:cs="Arial" w:eastAsia="Arial" w:hAnsi="Arial"/>
          <w:sz w:val="18"/>
          <w:szCs w:val="18"/>
          <w:b w:val="1"/>
          <w:bCs w:val="1"/>
          <w:color w:val="auto"/>
        </w:rPr>
      </w:pPr>
    </w:p>
    <w:p>
      <w:pPr>
        <w:jc w:val="both"/>
        <w:ind w:left="640" w:hanging="313"/>
        <w:spacing w:after="0" w:line="255" w:lineRule="auto"/>
        <w:tabs>
          <w:tab w:leader="none" w:pos="64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reasonable litigation expenses, including legal fees, incurred by the office holder (1)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such as a criminal penalty, was imposed upon him or her as a substitute for the criminal proceeding as a result of such investigation or proceeding or, if such financial liability was imposed, it was imposed with respect to an offense that does not require proof of criminal intent; and (2) in connection with a monetary sanction;</w:t>
      </w:r>
    </w:p>
    <w:p>
      <w:pPr>
        <w:spacing w:after="0" w:line="181" w:lineRule="exact"/>
        <w:rPr>
          <w:rFonts w:ascii="Arial" w:cs="Arial" w:eastAsia="Arial" w:hAnsi="Arial"/>
          <w:sz w:val="18"/>
          <w:szCs w:val="18"/>
          <w:b w:val="1"/>
          <w:bCs w:val="1"/>
          <w:color w:val="auto"/>
        </w:rPr>
      </w:pPr>
    </w:p>
    <w:p>
      <w:pPr>
        <w:jc w:val="both"/>
        <w:ind w:left="640" w:hanging="313"/>
        <w:spacing w:after="0" w:line="262" w:lineRule="auto"/>
        <w:tabs>
          <w:tab w:leader="none" w:pos="64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reasonable litigation expenses, including legal fees, incurred by the office holder or imposed by a court in proceedings instituted against him or her by the company, on its behalf or by a third party or in connection with criminal proceedings in which the office holder was acquitted or as a result of a conviction for an offense that does not require proof of criminal intent; and</w:t>
      </w:r>
    </w:p>
    <w:p>
      <w:pPr>
        <w:spacing w:after="0" w:line="176" w:lineRule="exact"/>
        <w:rPr>
          <w:rFonts w:ascii="Arial" w:cs="Arial" w:eastAsia="Arial" w:hAnsi="Arial"/>
          <w:sz w:val="18"/>
          <w:szCs w:val="18"/>
          <w:b w:val="1"/>
          <w:bCs w:val="1"/>
          <w:color w:val="auto"/>
        </w:rPr>
      </w:pPr>
    </w:p>
    <w:p>
      <w:pPr>
        <w:jc w:val="both"/>
        <w:ind w:left="640" w:hanging="313"/>
        <w:spacing w:after="0" w:line="262" w:lineRule="auto"/>
        <w:tabs>
          <w:tab w:leader="none" w:pos="64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expenses, including reasonable litigation expenses and legal fees, incurred by an office holder in relation to an administrative proceeding instituted against such office holder, or certain compensation payments made to an injured party imposed on an office holder by an administrative proceeding, pursuant to certain provisions of the Israeli Securities Law, 1968 (the “Israeli Securities Law”).</w:t>
      </w:r>
    </w:p>
    <w:p>
      <w:pPr>
        <w:spacing w:after="0" w:line="176"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An Israeli company may insure an office holder against the following liabilities incurred for acts performed as an office holder if and to the extent provided in the company’s articles of association:</w:t>
      </w:r>
    </w:p>
    <w:p>
      <w:pPr>
        <w:spacing w:after="0" w:line="163" w:lineRule="exact"/>
        <w:rPr>
          <w:sz w:val="20"/>
          <w:szCs w:val="20"/>
          <w:color w:val="auto"/>
        </w:rPr>
      </w:pPr>
    </w:p>
    <w:p>
      <w:pPr>
        <w:ind w:left="640" w:hanging="313"/>
        <w:spacing w:after="0" w:line="276" w:lineRule="auto"/>
        <w:tabs>
          <w:tab w:leader="none" w:pos="64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breach of the duty of loyalty to the company, to the extent that the office holder acted in good faith and had a reasonable basis to believe that the act would not prejudice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404495</wp:posOffset>
            </wp:positionV>
            <wp:extent cx="71335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3" w:name="page4"/>
    <w:bookmarkEnd w:id="3"/>
    <w:p>
      <w:pPr>
        <w:ind w:left="640" w:hanging="313"/>
        <w:spacing w:after="0"/>
        <w:tabs>
          <w:tab w:leader="none" w:pos="64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breach of the duty of care to the company or to a third party, to the extent such breach arises out of the negligent conduct of the office holder;</w:t>
      </w:r>
    </w:p>
    <w:p>
      <w:pPr>
        <w:spacing w:after="0" w:line="219" w:lineRule="exact"/>
        <w:rPr>
          <w:rFonts w:ascii="Arial" w:cs="Arial" w:eastAsia="Arial" w:hAnsi="Arial"/>
          <w:sz w:val="18"/>
          <w:szCs w:val="18"/>
          <w:b w:val="1"/>
          <w:bCs w:val="1"/>
          <w:color w:val="auto"/>
        </w:rPr>
      </w:pPr>
    </w:p>
    <w:p>
      <w:pPr>
        <w:ind w:left="640" w:hanging="313"/>
        <w:spacing w:after="0"/>
        <w:tabs>
          <w:tab w:leader="none" w:pos="64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financial liability imposed on the office holder in favor of a third party;</w:t>
      </w:r>
    </w:p>
    <w:p>
      <w:pPr>
        <w:spacing w:after="0" w:line="219" w:lineRule="exact"/>
        <w:rPr>
          <w:rFonts w:ascii="Arial" w:cs="Arial" w:eastAsia="Arial" w:hAnsi="Arial"/>
          <w:sz w:val="18"/>
          <w:szCs w:val="18"/>
          <w:b w:val="1"/>
          <w:bCs w:val="1"/>
          <w:color w:val="auto"/>
        </w:rPr>
      </w:pPr>
    </w:p>
    <w:p>
      <w:pPr>
        <w:ind w:left="640" w:hanging="313"/>
        <w:spacing w:after="0"/>
        <w:tabs>
          <w:tab w:leader="none" w:pos="64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financial liability imposed on the office holder in favor of a third party harmed by a breach in an administrative proceeding; and</w:t>
      </w:r>
    </w:p>
    <w:p>
      <w:pPr>
        <w:spacing w:after="0" w:line="219" w:lineRule="exact"/>
        <w:rPr>
          <w:rFonts w:ascii="Arial" w:cs="Arial" w:eastAsia="Arial" w:hAnsi="Arial"/>
          <w:sz w:val="18"/>
          <w:szCs w:val="18"/>
          <w:b w:val="1"/>
          <w:bCs w:val="1"/>
          <w:color w:val="auto"/>
        </w:rPr>
      </w:pPr>
    </w:p>
    <w:p>
      <w:pPr>
        <w:ind w:left="640" w:hanging="313"/>
        <w:spacing w:after="0" w:line="276" w:lineRule="auto"/>
        <w:tabs>
          <w:tab w:leader="none" w:pos="64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expenses, including reasonable litigation expenses and legal fees, incurred by the office holder as a result of an administrative proceeding instituted against him or her, pursuant to certain provisions of the Israeli Securities Law.</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Israeli company may not indemnify, exculpate or insure an office holder against any of the following:</w:t>
      </w:r>
    </w:p>
    <w:p>
      <w:pPr>
        <w:spacing w:after="0" w:line="220" w:lineRule="exact"/>
        <w:rPr>
          <w:sz w:val="20"/>
          <w:szCs w:val="20"/>
          <w:color w:val="auto"/>
        </w:rPr>
      </w:pPr>
    </w:p>
    <w:p>
      <w:pPr>
        <w:ind w:left="640" w:hanging="313"/>
        <w:spacing w:after="0" w:line="276" w:lineRule="auto"/>
        <w:tabs>
          <w:tab w:leader="none" w:pos="64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breach of the duty of loyalty, except to the extent that the office holder acted in good faith and had a reasonable basis to believe that the act would not prejudice the company;</w:t>
      </w:r>
    </w:p>
    <w:p>
      <w:pPr>
        <w:spacing w:after="0" w:line="164" w:lineRule="exact"/>
        <w:rPr>
          <w:rFonts w:ascii="Arial" w:cs="Arial" w:eastAsia="Arial" w:hAnsi="Arial"/>
          <w:sz w:val="18"/>
          <w:szCs w:val="18"/>
          <w:b w:val="1"/>
          <w:bCs w:val="1"/>
          <w:color w:val="auto"/>
        </w:rPr>
      </w:pPr>
    </w:p>
    <w:p>
      <w:pPr>
        <w:ind w:left="640" w:hanging="313"/>
        <w:spacing w:after="0"/>
        <w:tabs>
          <w:tab w:leader="none" w:pos="64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breach of the duty of care committed intentionally or recklessly, excluding a breach arising out of the negligent conduct of the office holder;</w:t>
      </w:r>
    </w:p>
    <w:p>
      <w:pPr>
        <w:spacing w:after="0" w:line="219" w:lineRule="exact"/>
        <w:rPr>
          <w:rFonts w:ascii="Arial" w:cs="Arial" w:eastAsia="Arial" w:hAnsi="Arial"/>
          <w:sz w:val="18"/>
          <w:szCs w:val="18"/>
          <w:b w:val="1"/>
          <w:bCs w:val="1"/>
          <w:color w:val="auto"/>
        </w:rPr>
      </w:pPr>
    </w:p>
    <w:p>
      <w:pPr>
        <w:ind w:left="640" w:hanging="313"/>
        <w:spacing w:after="0"/>
        <w:tabs>
          <w:tab w:leader="none" w:pos="64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 act or omission committed with intent to derive illegal personal benefit; or</w:t>
      </w:r>
    </w:p>
    <w:p>
      <w:pPr>
        <w:spacing w:after="0" w:line="219" w:lineRule="exact"/>
        <w:rPr>
          <w:rFonts w:ascii="Arial" w:cs="Arial" w:eastAsia="Arial" w:hAnsi="Arial"/>
          <w:sz w:val="18"/>
          <w:szCs w:val="18"/>
          <w:b w:val="1"/>
          <w:bCs w:val="1"/>
          <w:color w:val="auto"/>
        </w:rPr>
      </w:pPr>
    </w:p>
    <w:p>
      <w:pPr>
        <w:ind w:left="640" w:hanging="313"/>
        <w:spacing w:after="0"/>
        <w:tabs>
          <w:tab w:leader="none" w:pos="64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civil or criminal fine, monetary sanction or forfeit levied against the office holder.</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Companies Law, exculpation, indemnification and insurance of office holders must be approved by the compensation committee and the board of directors (and, with respect to directors and the Chief Executive Officer, by the shareholders). However, under regulations promulgated under the Companies Law, the insurance of office holders does not require shareholder approval and may be approved by only the compensation committee if the engagement terms are determined in accordance with the company’s compensation policy, which was approved by the shareholders by the same special majority required to approve a compensation policy, provided that the insurance policy is on market terms and the insurance policy is not likely to materially impact the company’s profitability, assets or obligations.</w:t>
      </w:r>
    </w:p>
    <w:p>
      <w:pPr>
        <w:spacing w:after="0" w:line="18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Our amended and restated articles of association allow us to exculpate, indemnify and insure our office holders for any liability imposed on them as a consequence of an act (including any omission) which was performed by virtue of being an office holder. Our office holders are currently covered by a directors’ and officers’ liability insurance policy.</w:t>
      </w:r>
    </w:p>
    <w:p>
      <w:pPr>
        <w:spacing w:after="0" w:line="17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have entered into agreements with certain of our directors and executive officers exculpating them in advance, to the fullest extent permitted by law, from liability to us for damages caused to us as a result of a breach of duty of care, and undertaking to indemnify them to the fullest extent permitted by law. This indemnification is limited to events determined as reasonably anticipated by the board of directors based on our activities, and to an amount determined by the board of directors as reasonable under the circumstances.</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maximum indemnification amount set forth in such agreements is limited to an amount equal to the higher of $25 million and 25% of our total shareholders’ equity as reflected in our most recent consolidated financial statements prior to the date on which the indemnity payment is made. The maximum amount set forth in such agreements is in addition to any amount paid (if paid) under insurance and/or by a third party pursuant to an indemnification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415925</wp:posOffset>
            </wp:positionV>
            <wp:extent cx="71335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4" w:name="page5"/>
    <w:bookmarkEnd w:id="4"/>
    <w:p>
      <w:pPr>
        <w:ind w:right="20"/>
        <w:spacing w:after="0" w:line="277" w:lineRule="auto"/>
        <w:rPr>
          <w:sz w:val="20"/>
          <w:szCs w:val="20"/>
          <w:color w:val="auto"/>
        </w:rPr>
      </w:pPr>
      <w:r>
        <w:rPr>
          <w:rFonts w:ascii="Times New Roman" w:cs="Times New Roman" w:eastAsia="Times New Roman" w:hAnsi="Times New Roman"/>
          <w:sz w:val="18"/>
          <w:szCs w:val="18"/>
          <w:color w:val="auto"/>
        </w:rPr>
        <w:t>In the opinion of the SEC, indemnification of directors and office holders for liabilities arising under the Securities Act, however, is against public policy and therefore unenforceable.</w:t>
      </w:r>
    </w:p>
    <w:p>
      <w:pPr>
        <w:spacing w:after="0" w:line="163"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There is no pending litigation or proceeding against any of our office holders as to which indemnification is being sought, nor are we aware of any pending or threatened litigation that may result in claims for indemnification by any office holder.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20" w:type="dxa"/>
            <w:vAlign w:val="bottom"/>
            <w:gridSpan w:val="5"/>
          </w:tcPr>
          <w:p>
            <w:pPr>
              <w:ind w:left="11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05"/>
        </w:trPr>
        <w:tc>
          <w:tcPr>
            <w:tcW w:w="20" w:type="dxa"/>
            <w:vAlign w:val="bottom"/>
          </w:tcPr>
          <w:p>
            <w:pPr>
              <w:spacing w:after="0"/>
              <w:rPr>
                <w:sz w:val="24"/>
                <w:szCs w:val="24"/>
                <w:color w:val="auto"/>
              </w:rPr>
            </w:pPr>
          </w:p>
        </w:tc>
        <w:tc>
          <w:tcPr>
            <w:tcW w:w="1120" w:type="dxa"/>
            <w:vAlign w:val="bottom"/>
            <w:gridSpan w:val="6"/>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36"/>
        </w:trPr>
        <w:tc>
          <w:tcPr>
            <w:tcW w:w="20" w:type="dxa"/>
            <w:vAlign w:val="bottom"/>
          </w:tcPr>
          <w:p>
            <w:pPr>
              <w:spacing w:after="0"/>
              <w:rPr>
                <w:sz w:val="20"/>
                <w:szCs w:val="20"/>
                <w:color w:val="auto"/>
              </w:rPr>
            </w:pPr>
          </w:p>
        </w:tc>
        <w:tc>
          <w:tcPr>
            <w:tcW w:w="1120" w:type="dxa"/>
            <w:vAlign w:val="bottom"/>
            <w:gridSpan w:val="6"/>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820" w:type="dxa"/>
            <w:vAlign w:val="bottom"/>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Exhibit</w:t>
            </w:r>
          </w:p>
        </w:tc>
      </w:tr>
      <w:tr>
        <w:trPr>
          <w:trHeight w:val="167"/>
        </w:trPr>
        <w:tc>
          <w:tcPr>
            <w:tcW w:w="20" w:type="dxa"/>
            <w:vAlign w:val="bottom"/>
          </w:tcPr>
          <w:p>
            <w:pPr>
              <w:spacing w:after="0"/>
              <w:rPr>
                <w:sz w:val="14"/>
                <w:szCs w:val="14"/>
                <w:color w:val="auto"/>
              </w:rPr>
            </w:pPr>
          </w:p>
        </w:tc>
        <w:tc>
          <w:tcPr>
            <w:tcW w:w="300" w:type="dxa"/>
            <w:vAlign w:val="bottom"/>
            <w:tcBorders>
              <w:top w:val="single" w:sz="8" w:color="auto"/>
            </w:tcBorders>
            <w:gridSpan w:val="2"/>
          </w:tcPr>
          <w:p>
            <w:pPr>
              <w:spacing w:after="0" w:line="167"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hyperlink>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100" w:type="dxa"/>
            <w:vAlign w:val="bottom"/>
            <w:tcBorders>
              <w:top w:val="single" w:sz="8" w:color="auto"/>
            </w:tcBorders>
            <w:gridSpan w:val="7"/>
          </w:tcPr>
          <w:p>
            <w:pPr>
              <w:spacing w:after="0" w:line="167"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Amended and Restated Articles of Association of Oddity Tech Ltd. (incorporated by reference to Exhibit 1.1 to the Form 20-F filed on</w:t>
              </w:r>
            </w:hyperlink>
          </w:p>
        </w:tc>
      </w:tr>
      <w:tr>
        <w:trPr>
          <w:trHeight w:val="194"/>
        </w:trPr>
        <w:tc>
          <w:tcPr>
            <w:tcW w:w="20" w:type="dxa"/>
            <w:vAlign w:val="bottom"/>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80" w:type="dxa"/>
            <w:vAlign w:val="bottom"/>
            <w:tcBorders>
              <w:top w:val="single" w:sz="8" w:color="0000EE"/>
              <w:bottom w:val="single" w:sz="8" w:color="0000EE"/>
            </w:tcBorders>
            <w:gridSpan w:val="2"/>
          </w:tcPr>
          <w:p>
            <w:pPr>
              <w:spacing w:after="0" w:line="194" w:lineRule="exact"/>
              <w:rPr>
                <w:rFonts w:ascii="Times New Roman" w:cs="Times New Roman" w:eastAsia="Times New Roman" w:hAnsi="Times New Roman"/>
                <w:sz w:val="18"/>
                <w:szCs w:val="18"/>
                <w:color w:val="0000EE"/>
                <w:w w:val="98"/>
              </w:rPr>
            </w:pPr>
            <w:hyperlink r:id="rId26">
              <w:r>
                <w:rPr>
                  <w:rFonts w:ascii="Times New Roman" w:cs="Times New Roman" w:eastAsia="Times New Roman" w:hAnsi="Times New Roman"/>
                  <w:sz w:val="18"/>
                  <w:szCs w:val="18"/>
                  <w:color w:val="0000EE"/>
                  <w:w w:val="98"/>
                </w:rPr>
                <w:t>March 6, 2024 (File no. 001-41745)).</w:t>
              </w:r>
            </w:hyperlink>
          </w:p>
        </w:tc>
        <w:tc>
          <w:tcPr>
            <w:tcW w:w="7420" w:type="dxa"/>
            <w:vAlign w:val="bottom"/>
            <w:tcBorders>
              <w:top w:val="single" w:sz="8" w:color="0000EE"/>
            </w:tcBorders>
            <w:gridSpan w:val="5"/>
          </w:tcPr>
          <w:p>
            <w:pPr>
              <w:spacing w:after="0"/>
              <w:rPr>
                <w:sz w:val="16"/>
                <w:szCs w:val="16"/>
                <w:color w:val="auto"/>
              </w:rPr>
            </w:pPr>
          </w:p>
        </w:tc>
      </w:tr>
      <w:tr>
        <w:trPr>
          <w:trHeight w:val="407"/>
        </w:trPr>
        <w:tc>
          <w:tcPr>
            <w:tcW w:w="3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5"/>
              </w:rPr>
              <w:t>5.</w:t>
            </w:r>
            <w:r>
              <w:rPr>
                <w:rFonts w:ascii="Times New Roman" w:cs="Times New Roman" w:eastAsia="Times New Roman" w:hAnsi="Times New Roman"/>
                <w:sz w:val="18"/>
                <w:szCs w:val="18"/>
                <w:u w:val="single" w:color="auto"/>
                <w:color w:val="0000EE"/>
                <w:w w:val="95"/>
              </w:rPr>
              <w:t>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Opinion of Herzog Fox &amp; Neeman, counsel to the Registrant, as to the validity of the Class A ordinary shares</w:t>
            </w:r>
          </w:p>
        </w:tc>
        <w:tc>
          <w:tcPr>
            <w:tcW w:w="2300" w:type="dxa"/>
            <w:vAlign w:val="bottom"/>
          </w:tcPr>
          <w:p>
            <w:pPr>
              <w:spacing w:after="0"/>
              <w:rPr>
                <w:sz w:val="24"/>
                <w:szCs w:val="24"/>
                <w:color w:val="auto"/>
              </w:rPr>
            </w:pPr>
          </w:p>
        </w:tc>
      </w:tr>
      <w:tr>
        <w:trPr>
          <w:trHeight w:val="407"/>
        </w:trPr>
        <w:tc>
          <w:tcPr>
            <w:tcW w:w="4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3"/>
              </w:rPr>
              <w:t>23.</w:t>
            </w:r>
            <w:r>
              <w:rPr>
                <w:rFonts w:ascii="Times New Roman" w:cs="Times New Roman" w:eastAsia="Times New Roman" w:hAnsi="Times New Roman"/>
                <w:sz w:val="18"/>
                <w:szCs w:val="18"/>
                <w:u w:val="single" w:color="auto"/>
                <w:color w:val="0000EE"/>
                <w:w w:val="93"/>
              </w:rPr>
              <w:t>1*</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Consent of Kost, Forer, Gabbay and Kasierer, an independent registered public accounting firm</w:t>
            </w:r>
          </w:p>
        </w:tc>
        <w:tc>
          <w:tcPr>
            <w:tcW w:w="3300" w:type="dxa"/>
            <w:vAlign w:val="bottom"/>
            <w:gridSpan w:val="2"/>
          </w:tcPr>
          <w:p>
            <w:pPr>
              <w:spacing w:after="0"/>
              <w:rPr>
                <w:sz w:val="24"/>
                <w:szCs w:val="24"/>
                <w:color w:val="auto"/>
              </w:rPr>
            </w:pPr>
          </w:p>
        </w:tc>
      </w:tr>
      <w:tr>
        <w:trPr>
          <w:trHeight w:val="407"/>
        </w:trPr>
        <w:tc>
          <w:tcPr>
            <w:tcW w:w="4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3"/>
              </w:rPr>
              <w:t>23.</w:t>
            </w:r>
            <w:r>
              <w:rPr>
                <w:rFonts w:ascii="Times New Roman" w:cs="Times New Roman" w:eastAsia="Times New Roman" w:hAnsi="Times New Roman"/>
                <w:sz w:val="18"/>
                <w:szCs w:val="18"/>
                <w:u w:val="single" w:color="auto"/>
                <w:color w:val="0000EE"/>
                <w:w w:val="93"/>
              </w:rPr>
              <w:t>2*</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Consent of Herzog Fox &amp; Neeman (included in Exhibit 5.1)</w:t>
            </w:r>
          </w:p>
        </w:tc>
      </w:tr>
      <w:tr>
        <w:trPr>
          <w:trHeight w:val="20"/>
        </w:trPr>
        <w:tc>
          <w:tcPr>
            <w:tcW w:w="40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580" w:type="dxa"/>
            <w:vAlign w:val="bottom"/>
            <w:gridSpan w:val="3"/>
          </w:tcPr>
          <w:p>
            <w:pPr>
              <w:spacing w:after="0" w:line="20" w:lineRule="exact"/>
              <w:rPr>
                <w:sz w:val="1"/>
                <w:szCs w:val="1"/>
                <w:color w:val="auto"/>
              </w:rPr>
            </w:pPr>
          </w:p>
        </w:tc>
      </w:tr>
      <w:tr>
        <w:trPr>
          <w:trHeight w:val="407"/>
        </w:trPr>
        <w:tc>
          <w:tcPr>
            <w:tcW w:w="4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3"/>
              </w:rPr>
              <w:t>24.</w:t>
            </w:r>
            <w:r>
              <w:rPr>
                <w:rFonts w:ascii="Times New Roman" w:cs="Times New Roman" w:eastAsia="Times New Roman" w:hAnsi="Times New Roman"/>
                <w:sz w:val="18"/>
                <w:szCs w:val="18"/>
                <w:u w:val="single" w:color="auto"/>
                <w:color w:val="0000EE"/>
                <w:w w:val="93"/>
              </w:rPr>
              <w:t>1*</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Power of Attorney (included in signature page to this Registration Statement)</w:t>
            </w:r>
          </w:p>
        </w:tc>
      </w:tr>
      <w:tr>
        <w:trPr>
          <w:trHeight w:val="20"/>
        </w:trPr>
        <w:tc>
          <w:tcPr>
            <w:tcW w:w="40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4580" w:type="dxa"/>
            <w:vAlign w:val="bottom"/>
            <w:gridSpan w:val="3"/>
          </w:tcPr>
          <w:p>
            <w:pPr>
              <w:spacing w:after="0" w:line="20" w:lineRule="exact"/>
              <w:rPr>
                <w:sz w:val="1"/>
                <w:szCs w:val="1"/>
                <w:color w:val="auto"/>
              </w:rPr>
            </w:pPr>
          </w:p>
        </w:tc>
      </w:tr>
      <w:tr>
        <w:trPr>
          <w:trHeight w:val="407"/>
        </w:trPr>
        <w:tc>
          <w:tcPr>
            <w:tcW w:w="500" w:type="dxa"/>
            <w:vAlign w:val="bottom"/>
            <w:gridSpan w:val="5"/>
          </w:tcPr>
          <w:p>
            <w:pPr>
              <w:spacing w:after="0"/>
              <w:rPr>
                <w:sz w:val="20"/>
                <w:szCs w:val="20"/>
                <w:color w:val="auto"/>
              </w:rPr>
            </w:pPr>
            <w:r>
              <w:rPr>
                <w:rFonts w:ascii="Times New Roman" w:cs="Times New Roman" w:eastAsia="Times New Roman" w:hAnsi="Times New Roman"/>
                <w:sz w:val="18"/>
                <w:szCs w:val="18"/>
                <w:color w:val="0000EE"/>
                <w:w w:val="96"/>
              </w:rPr>
              <w:t>107.</w:t>
            </w:r>
            <w:r>
              <w:rPr>
                <w:rFonts w:ascii="Times New Roman" w:cs="Times New Roman" w:eastAsia="Times New Roman" w:hAnsi="Times New Roman"/>
                <w:sz w:val="18"/>
                <w:szCs w:val="18"/>
                <w:u w:val="single" w:color="auto"/>
                <w:color w:val="0000EE"/>
                <w:w w:val="96"/>
              </w:rPr>
              <w:t>1*</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Calculation of Filing Fee Table</w:t>
            </w:r>
          </w:p>
        </w:tc>
      </w:tr>
      <w:tr>
        <w:trPr>
          <w:trHeight w:val="20"/>
        </w:trPr>
        <w:tc>
          <w:tcPr>
            <w:tcW w:w="500" w:type="dxa"/>
            <w:vAlign w:val="bottom"/>
            <w:gridSpan w:val="5"/>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448"/>
        </w:trPr>
        <w:tc>
          <w:tcPr>
            <w:tcW w:w="114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8"/>
              </w:rPr>
              <w:t>*Filed herewith</w:t>
            </w:r>
          </w:p>
        </w:tc>
        <w:tc>
          <w:tcPr>
            <w:tcW w:w="2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667"/>
        </w:trPr>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6"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4"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Tel Aviv, Israel, on this fourth day of June, 2026.</w:t>
      </w:r>
    </w:p>
    <w:p>
      <w:pPr>
        <w:spacing w:after="0" w:line="1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ODDITY Tech Ltd.</w:t>
      </w:r>
    </w:p>
    <w:p>
      <w:pPr>
        <w:spacing w:after="0" w:line="224"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Oran Holtzman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3931920</wp:posOffset>
            </wp:positionH>
            <wp:positionV relativeFrom="paragraph">
              <wp:posOffset>15875</wp:posOffset>
            </wp:positionV>
            <wp:extent cx="32061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Oran Holtzman</w:t>
      </w:r>
    </w:p>
    <w:p>
      <w:pPr>
        <w:spacing w:after="0" w:line="20"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KNOW ALL BY THESE PRESENTS, that each person whose signature appears below constitutes and appoints Oran Holtzman and Lindsay Drucker Mann, and each of them, as his or her true and lawful attorneys-in-fact and agents, each with the full power of substitution, for him or her and in his or her name, place or stead, in any and all capacities, to sign any and all amendments to this Registration Statement (including post-effective amendments),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 or substitutes, may lawfully do or cause to be done by virtue hereof.</w:t>
      </w:r>
    </w:p>
    <w:p>
      <w:pPr>
        <w:spacing w:after="0" w:line="18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indicated on June 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403860</wp:posOffset>
            </wp:positionV>
            <wp:extent cx="71335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6"/>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0" w:type="dxa"/>
            <w:vAlign w:val="bottom"/>
          </w:tcPr>
          <w:p>
            <w:pPr>
              <w:spacing w:after="0"/>
              <w:rPr>
                <w:sz w:val="20"/>
                <w:szCs w:val="20"/>
                <w:color w:val="auto"/>
              </w:rPr>
            </w:pPr>
          </w:p>
        </w:tc>
        <w:tc>
          <w:tcPr>
            <w:tcW w:w="7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0" w:type="dxa"/>
            <w:vAlign w:val="bottom"/>
          </w:tcPr>
          <w:p>
            <w:pPr>
              <w:spacing w:after="0"/>
              <w:rPr>
                <w:sz w:val="1"/>
                <w:szCs w:val="1"/>
                <w:color w:val="auto"/>
              </w:rPr>
            </w:pPr>
          </w:p>
        </w:tc>
      </w:tr>
      <w:tr>
        <w:trPr>
          <w:trHeight w:val="421"/>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Oran Holtzman</w:t>
            </w:r>
          </w:p>
        </w:tc>
        <w:tc>
          <w:tcPr>
            <w:tcW w:w="200" w:type="dxa"/>
            <w:vAlign w:val="bottom"/>
          </w:tcPr>
          <w:p>
            <w:pPr>
              <w:spacing w:after="0"/>
              <w:rPr>
                <w:sz w:val="24"/>
                <w:szCs w:val="24"/>
                <w:color w:val="auto"/>
              </w:rPr>
            </w:pPr>
          </w:p>
        </w:tc>
        <w:tc>
          <w:tcPr>
            <w:tcW w:w="7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Chief Executive Officer, Director</w:t>
            </w:r>
          </w:p>
        </w:tc>
        <w:tc>
          <w:tcPr>
            <w:tcW w:w="0" w:type="dxa"/>
            <w:vAlign w:val="bottom"/>
          </w:tcPr>
          <w:p>
            <w:pPr>
              <w:spacing w:after="0"/>
              <w:rPr>
                <w:sz w:val="1"/>
                <w:szCs w:val="1"/>
                <w:color w:val="auto"/>
              </w:rPr>
            </w:pPr>
          </w:p>
        </w:tc>
      </w:tr>
      <w:tr>
        <w:trPr>
          <w:trHeight w:val="173"/>
        </w:trPr>
        <w:tc>
          <w:tcPr>
            <w:tcW w:w="362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color w:val="auto"/>
                <w:w w:val="98"/>
              </w:rPr>
              <w:t>Oran Holtzman</w:t>
            </w:r>
          </w:p>
        </w:tc>
        <w:tc>
          <w:tcPr>
            <w:tcW w:w="200" w:type="dxa"/>
            <w:vAlign w:val="bottom"/>
          </w:tcPr>
          <w:p>
            <w:pPr>
              <w:spacing w:after="0"/>
              <w:rPr>
                <w:sz w:val="15"/>
                <w:szCs w:val="15"/>
                <w:color w:val="auto"/>
              </w:rPr>
            </w:pPr>
          </w:p>
        </w:tc>
        <w:tc>
          <w:tcPr>
            <w:tcW w:w="7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3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0" w:type="dxa"/>
            <w:vAlign w:val="bottom"/>
          </w:tcPr>
          <w:p>
            <w:pPr>
              <w:spacing w:after="0"/>
              <w:rPr>
                <w:sz w:val="1"/>
                <w:szCs w:val="1"/>
                <w:color w:val="auto"/>
              </w:rPr>
            </w:pPr>
          </w:p>
        </w:tc>
      </w:tr>
      <w:tr>
        <w:trPr>
          <w:trHeight w:val="427"/>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Lindsay Drucker Mann</w:t>
            </w:r>
          </w:p>
        </w:tc>
        <w:tc>
          <w:tcPr>
            <w:tcW w:w="200" w:type="dxa"/>
            <w:vAlign w:val="bottom"/>
          </w:tcPr>
          <w:p>
            <w:pPr>
              <w:spacing w:after="0"/>
              <w:rPr>
                <w:sz w:val="24"/>
                <w:szCs w:val="24"/>
                <w:color w:val="auto"/>
              </w:rPr>
            </w:pPr>
          </w:p>
        </w:tc>
        <w:tc>
          <w:tcPr>
            <w:tcW w:w="7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Global Chief Financial Officer</w:t>
            </w:r>
          </w:p>
        </w:tc>
        <w:tc>
          <w:tcPr>
            <w:tcW w:w="0" w:type="dxa"/>
            <w:vAlign w:val="bottom"/>
          </w:tcPr>
          <w:p>
            <w:pPr>
              <w:spacing w:after="0"/>
              <w:rPr>
                <w:sz w:val="1"/>
                <w:szCs w:val="1"/>
                <w:color w:val="auto"/>
              </w:rPr>
            </w:pPr>
          </w:p>
        </w:tc>
      </w:tr>
      <w:tr>
        <w:trPr>
          <w:trHeight w:val="173"/>
        </w:trPr>
        <w:tc>
          <w:tcPr>
            <w:tcW w:w="362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color w:val="auto"/>
                <w:w w:val="98"/>
              </w:rPr>
              <w:t>Lindsay Drucker Mann</w:t>
            </w:r>
          </w:p>
        </w:tc>
        <w:tc>
          <w:tcPr>
            <w:tcW w:w="200" w:type="dxa"/>
            <w:vAlign w:val="bottom"/>
          </w:tcPr>
          <w:p>
            <w:pPr>
              <w:spacing w:after="0"/>
              <w:rPr>
                <w:sz w:val="15"/>
                <w:szCs w:val="15"/>
                <w:color w:val="auto"/>
              </w:rPr>
            </w:pPr>
          </w:p>
        </w:tc>
        <w:tc>
          <w:tcPr>
            <w:tcW w:w="7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3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(Principal Financial Officer and Principal Accounting Officer)</w:t>
            </w:r>
          </w:p>
        </w:tc>
        <w:tc>
          <w:tcPr>
            <w:tcW w:w="0" w:type="dxa"/>
            <w:vAlign w:val="bottom"/>
          </w:tcPr>
          <w:p>
            <w:pPr>
              <w:spacing w:after="0"/>
              <w:rPr>
                <w:sz w:val="1"/>
                <w:szCs w:val="1"/>
                <w:color w:val="auto"/>
              </w:rPr>
            </w:pPr>
          </w:p>
        </w:tc>
      </w:tr>
      <w:tr>
        <w:trPr>
          <w:trHeight w:val="427"/>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Shiran Holtzman-Erel</w:t>
            </w:r>
          </w:p>
        </w:tc>
        <w:tc>
          <w:tcPr>
            <w:tcW w:w="200" w:type="dxa"/>
            <w:vAlign w:val="bottom"/>
          </w:tcPr>
          <w:p>
            <w:pPr>
              <w:spacing w:after="0"/>
              <w:rPr>
                <w:sz w:val="24"/>
                <w:szCs w:val="24"/>
                <w:color w:val="auto"/>
              </w:rPr>
            </w:pPr>
          </w:p>
        </w:tc>
        <w:tc>
          <w:tcPr>
            <w:tcW w:w="7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26"/>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Shiran Holtzman-Erel</w:t>
            </w:r>
          </w:p>
        </w:tc>
        <w:tc>
          <w:tcPr>
            <w:tcW w:w="200" w:type="dxa"/>
            <w:vAlign w:val="bottom"/>
          </w:tcPr>
          <w:p>
            <w:pPr>
              <w:spacing w:after="0"/>
              <w:rPr>
                <w:sz w:val="19"/>
                <w:szCs w:val="19"/>
                <w:color w:val="auto"/>
              </w:rPr>
            </w:pPr>
          </w:p>
        </w:tc>
        <w:tc>
          <w:tcPr>
            <w:tcW w:w="7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Michael Farello</w:t>
            </w:r>
          </w:p>
        </w:tc>
        <w:tc>
          <w:tcPr>
            <w:tcW w:w="200" w:type="dxa"/>
            <w:vAlign w:val="bottom"/>
          </w:tcPr>
          <w:p>
            <w:pPr>
              <w:spacing w:after="0"/>
              <w:rPr>
                <w:sz w:val="24"/>
                <w:szCs w:val="24"/>
                <w:color w:val="auto"/>
              </w:rPr>
            </w:pPr>
          </w:p>
        </w:tc>
        <w:tc>
          <w:tcPr>
            <w:tcW w:w="7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26"/>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Michael Farello</w:t>
            </w:r>
          </w:p>
        </w:tc>
        <w:tc>
          <w:tcPr>
            <w:tcW w:w="200" w:type="dxa"/>
            <w:vAlign w:val="bottom"/>
          </w:tcPr>
          <w:p>
            <w:pPr>
              <w:spacing w:after="0"/>
              <w:rPr>
                <w:sz w:val="19"/>
                <w:szCs w:val="19"/>
                <w:color w:val="auto"/>
              </w:rPr>
            </w:pPr>
          </w:p>
        </w:tc>
        <w:tc>
          <w:tcPr>
            <w:tcW w:w="7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Lilach Payorski</w:t>
            </w:r>
          </w:p>
        </w:tc>
        <w:tc>
          <w:tcPr>
            <w:tcW w:w="200" w:type="dxa"/>
            <w:vAlign w:val="bottom"/>
          </w:tcPr>
          <w:p>
            <w:pPr>
              <w:spacing w:after="0"/>
              <w:rPr>
                <w:sz w:val="24"/>
                <w:szCs w:val="24"/>
                <w:color w:val="auto"/>
              </w:rPr>
            </w:pPr>
          </w:p>
        </w:tc>
        <w:tc>
          <w:tcPr>
            <w:tcW w:w="7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26"/>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Lilach Payorski</w:t>
            </w:r>
          </w:p>
        </w:tc>
        <w:tc>
          <w:tcPr>
            <w:tcW w:w="200" w:type="dxa"/>
            <w:vAlign w:val="bottom"/>
          </w:tcPr>
          <w:p>
            <w:pPr>
              <w:spacing w:after="0"/>
              <w:rPr>
                <w:sz w:val="19"/>
                <w:szCs w:val="19"/>
                <w:color w:val="auto"/>
              </w:rPr>
            </w:pPr>
          </w:p>
        </w:tc>
        <w:tc>
          <w:tcPr>
            <w:tcW w:w="7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Ohad Chereshniya</w:t>
            </w:r>
          </w:p>
        </w:tc>
        <w:tc>
          <w:tcPr>
            <w:tcW w:w="200" w:type="dxa"/>
            <w:vAlign w:val="bottom"/>
          </w:tcPr>
          <w:p>
            <w:pPr>
              <w:spacing w:after="0"/>
              <w:rPr>
                <w:sz w:val="24"/>
                <w:szCs w:val="24"/>
                <w:color w:val="auto"/>
              </w:rPr>
            </w:pPr>
          </w:p>
        </w:tc>
        <w:tc>
          <w:tcPr>
            <w:tcW w:w="7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26"/>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Ohad Chereshniya</w:t>
            </w:r>
          </w:p>
        </w:tc>
        <w:tc>
          <w:tcPr>
            <w:tcW w:w="200" w:type="dxa"/>
            <w:vAlign w:val="bottom"/>
          </w:tcPr>
          <w:p>
            <w:pPr>
              <w:spacing w:after="0"/>
              <w:rPr>
                <w:sz w:val="19"/>
                <w:szCs w:val="19"/>
                <w:color w:val="auto"/>
              </w:rPr>
            </w:pPr>
          </w:p>
        </w:tc>
        <w:tc>
          <w:tcPr>
            <w:tcW w:w="7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 Yehoshua Nir</w:t>
            </w:r>
          </w:p>
        </w:tc>
        <w:tc>
          <w:tcPr>
            <w:tcW w:w="200" w:type="dxa"/>
            <w:vAlign w:val="bottom"/>
          </w:tcPr>
          <w:p>
            <w:pPr>
              <w:spacing w:after="0"/>
              <w:rPr>
                <w:sz w:val="24"/>
                <w:szCs w:val="24"/>
                <w:color w:val="auto"/>
              </w:rPr>
            </w:pPr>
          </w:p>
        </w:tc>
        <w:tc>
          <w:tcPr>
            <w:tcW w:w="7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26"/>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Yehoshua Nir</w:t>
            </w:r>
          </w:p>
        </w:tc>
        <w:tc>
          <w:tcPr>
            <w:tcW w:w="200" w:type="dxa"/>
            <w:vAlign w:val="bottom"/>
          </w:tcPr>
          <w:p>
            <w:pPr>
              <w:spacing w:after="0"/>
              <w:rPr>
                <w:sz w:val="19"/>
                <w:szCs w:val="19"/>
                <w:color w:val="auto"/>
              </w:rPr>
            </w:pPr>
          </w:p>
        </w:tc>
        <w:tc>
          <w:tcPr>
            <w:tcW w:w="7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OF AUTHORIZED U.S. REPRESENTATIVE OF REGISTRANT</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undersigned, the duly authorized representative in the United States of ODDITY Tech Ltd., has signed this Registration Statement on June 4, 2026.</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Lindsay Drucker Mann</w:t>
            </w:r>
          </w:p>
        </w:tc>
      </w:tr>
      <w:tr>
        <w:trPr>
          <w:trHeight w:val="189"/>
        </w:trPr>
        <w:tc>
          <w:tcPr>
            <w:tcW w:w="6200" w:type="dxa"/>
            <w:vAlign w:val="bottom"/>
          </w:tcPr>
          <w:p>
            <w:pPr>
              <w:ind w:left="5640"/>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Lindsay Drucker Mann</w:t>
            </w:r>
          </w:p>
        </w:tc>
      </w:tr>
      <w:tr>
        <w:trPr>
          <w:trHeight w:val="233"/>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Global Chief Financial Officer</w:t>
            </w:r>
          </w:p>
        </w:tc>
      </w:tr>
      <w:tr>
        <w:trPr>
          <w:trHeight w:val="667"/>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2"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154305</wp:posOffset>
            </wp:positionV>
            <wp:extent cx="2493645" cy="15182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2493645" cy="151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June 4,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Oddity Tech Ltd.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Haharash Street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Aviv-Jaffa 6761304</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Israel</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b w:val="1"/>
          <w:bCs w:val="1"/>
          <w:u w:val="single" w:color="auto"/>
          <w:color w:val="auto"/>
        </w:rPr>
        <w:t>ODDITY Tech Ltd. - Registration Statement on Form S-8</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0" w:lineRule="exact"/>
        <w:rPr>
          <w:sz w:val="20"/>
          <w:szCs w:val="20"/>
          <w:color w:val="auto"/>
        </w:rPr>
      </w:pPr>
    </w:p>
    <w:p>
      <w:pPr>
        <w:jc w:val="both"/>
        <w:ind w:firstLine="641"/>
        <w:spacing w:after="0" w:line="255" w:lineRule="auto"/>
        <w:rPr>
          <w:sz w:val="20"/>
          <w:szCs w:val="20"/>
          <w:color w:val="auto"/>
        </w:rPr>
      </w:pPr>
      <w:r>
        <w:rPr>
          <w:rFonts w:ascii="Times New Roman" w:cs="Times New Roman" w:eastAsia="Times New Roman" w:hAnsi="Times New Roman"/>
          <w:sz w:val="18"/>
          <w:szCs w:val="18"/>
          <w:color w:val="auto"/>
        </w:rPr>
        <w:t>We have acted as Israeli counsel for Oddity Tech Ltd., an Israeli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registration statement on Form S-8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filed by the Company with the United States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the date hereof pursuant to the United States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for the purpose of registering an additional 8,513,503 of the Company’s Class A Ordinary Shares, par value NIS 0.001 per share (the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reserved for future issuance under the Company’s 2023 Incentive Award Plan (the “</w:t>
      </w:r>
      <w:r>
        <w:rPr>
          <w:rFonts w:ascii="Times New Roman" w:cs="Times New Roman" w:eastAsia="Times New Roman" w:hAnsi="Times New Roman"/>
          <w:sz w:val="18"/>
          <w:szCs w:val="18"/>
          <w:u w:val="single" w:color="auto"/>
          <w:color w:val="auto"/>
        </w:rPr>
        <w:t>2023 Plan</w:t>
      </w:r>
      <w:r>
        <w:rPr>
          <w:rFonts w:ascii="Times New Roman" w:cs="Times New Roman" w:eastAsia="Times New Roman" w:hAnsi="Times New Roman"/>
          <w:sz w:val="18"/>
          <w:szCs w:val="18"/>
          <w:color w:val="auto"/>
        </w:rPr>
        <w:t>”). Ordinary Shares issuable under the 2023 Plan shall be referred to herein as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1"/>
        <w:spacing w:after="0" w:line="252" w:lineRule="auto"/>
        <w:rPr>
          <w:sz w:val="20"/>
          <w:szCs w:val="20"/>
          <w:color w:val="auto"/>
        </w:rPr>
      </w:pPr>
      <w:r>
        <w:rPr>
          <w:rFonts w:ascii="Times New Roman" w:cs="Times New Roman" w:eastAsia="Times New Roman" w:hAnsi="Times New Roman"/>
          <w:sz w:val="18"/>
          <w:szCs w:val="18"/>
          <w:color w:val="auto"/>
        </w:rPr>
        <w:t>In connection with this opinion, we have examined originals or copies, certified or otherwise identified to our satisfaction, of the 2023 Plan, the Registration Statement, the Company’s Amended and Restated Articles of Association (the “</w:t>
      </w:r>
      <w:r>
        <w:rPr>
          <w:rFonts w:ascii="Times New Roman" w:cs="Times New Roman" w:eastAsia="Times New Roman" w:hAnsi="Times New Roman"/>
          <w:sz w:val="18"/>
          <w:szCs w:val="18"/>
          <w:u w:val="single" w:color="auto"/>
          <w:color w:val="auto"/>
        </w:rPr>
        <w:t>Articles</w:t>
      </w:r>
      <w:r>
        <w:rPr>
          <w:rFonts w:ascii="Times New Roman" w:cs="Times New Roman" w:eastAsia="Times New Roman" w:hAnsi="Times New Roman"/>
          <w:sz w:val="18"/>
          <w:szCs w:val="18"/>
          <w:color w:val="auto"/>
        </w:rPr>
        <w:t>”) and such other agreements, certificates, resolutions, minutes and other statements of corporate officers and other representatives of the Company and other documents as we have deemed necessary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appropriate as a basis for this opinion</w:t>
      </w:r>
      <w:r>
        <w:rPr>
          <w:rFonts w:ascii="Times New Roman" w:cs="Times New Roman" w:eastAsia="Times New Roman" w:hAnsi="Times New Roman"/>
          <w:sz w:val="23"/>
          <w:szCs w:val="23"/>
          <w:color w:val="auto"/>
        </w:rPr>
        <w:t>.</w:t>
      </w:r>
    </w:p>
    <w:p>
      <w:pPr>
        <w:spacing w:after="0" w:line="204" w:lineRule="exact"/>
        <w:rPr>
          <w:sz w:val="20"/>
          <w:szCs w:val="20"/>
          <w:color w:val="auto"/>
        </w:rPr>
      </w:pPr>
    </w:p>
    <w:p>
      <w:pPr>
        <w:jc w:val="both"/>
        <w:ind w:firstLine="641"/>
        <w:spacing w:after="0" w:line="255" w:lineRule="auto"/>
        <w:rPr>
          <w:sz w:val="20"/>
          <w:szCs w:val="20"/>
          <w:color w:val="auto"/>
        </w:rPr>
      </w:pPr>
      <w:r>
        <w:rPr>
          <w:rFonts w:ascii="Times New Roman" w:cs="Times New Roman" w:eastAsia="Times New Roman" w:hAnsi="Times New Roman"/>
          <w:sz w:val="18"/>
          <w:szCs w:val="18"/>
          <w:color w:val="auto"/>
        </w:rPr>
        <w:t>In rendering our opinion, we have assumed the authenticity of all original documents submitted to us as certified, conformed or photographic copies thereof, the genuineness of all signatures and the due authority of all persons executing such documents. We have assumed the same to have been complete and accurate. We have also assumed the truth of all facts communicated to us by the Company and that all consents, minutes and protocols of meetings of the Company’s board of directors which have been provided to us are true and accurate and have been properly prepared in accordance with the Articles and all applicable laws.</w:t>
      </w:r>
    </w:p>
    <w:p>
      <w:pPr>
        <w:spacing w:after="0" w:line="183" w:lineRule="exact"/>
        <w:rPr>
          <w:sz w:val="20"/>
          <w:szCs w:val="20"/>
          <w:color w:val="auto"/>
        </w:rPr>
      </w:pPr>
    </w:p>
    <w:p>
      <w:pPr>
        <w:jc w:val="both"/>
        <w:ind w:right="20" w:firstLine="641"/>
        <w:spacing w:after="0" w:line="268" w:lineRule="auto"/>
        <w:rPr>
          <w:sz w:val="20"/>
          <w:szCs w:val="20"/>
          <w:color w:val="auto"/>
        </w:rPr>
      </w:pPr>
      <w:r>
        <w:rPr>
          <w:rFonts w:ascii="Times New Roman" w:cs="Times New Roman" w:eastAsia="Times New Roman" w:hAnsi="Times New Roman"/>
          <w:sz w:val="18"/>
          <w:szCs w:val="18"/>
          <w:color w:val="auto"/>
        </w:rPr>
        <w:t>Members of our firm are admitted to the Bar of the State of Israel, and we do not express any opinion as to the laws of any other jurisdiction. This opinion is limited to the matters stated herein and no opinion is implied or may be inferred beyond the matters expressly stated herein</w:t>
      </w:r>
      <w:r>
        <w:rPr>
          <w:rFonts w:ascii="Times New Roman" w:cs="Times New Roman" w:eastAsia="Times New Roman" w:hAnsi="Times New Roman"/>
          <w:sz w:val="23"/>
          <w:szCs w:val="23"/>
          <w:color w:val="auto"/>
        </w:rPr>
        <w:t>.</w:t>
      </w:r>
    </w:p>
    <w:p>
      <w:pPr>
        <w:spacing w:after="0" w:line="168" w:lineRule="exact"/>
        <w:rPr>
          <w:sz w:val="20"/>
          <w:szCs w:val="20"/>
          <w:color w:val="auto"/>
        </w:rPr>
      </w:pPr>
    </w:p>
    <w:p>
      <w:pPr>
        <w:jc w:val="both"/>
        <w:ind w:firstLine="641"/>
        <w:spacing w:after="0" w:line="255" w:lineRule="auto"/>
        <w:rPr>
          <w:sz w:val="20"/>
          <w:szCs w:val="20"/>
          <w:color w:val="auto"/>
        </w:rPr>
      </w:pPr>
      <w:r>
        <w:rPr>
          <w:rFonts w:ascii="Times New Roman" w:cs="Times New Roman" w:eastAsia="Times New Roman" w:hAnsi="Times New Roman"/>
          <w:sz w:val="18"/>
          <w:szCs w:val="18"/>
          <w:color w:val="auto"/>
        </w:rPr>
        <w:t>Based upon and subject to the foregoing, we are of the opinion that the Shares have been duly authorized and reserved for issuance and, subject to the requisite corporate approvals, will be, when issued and delivered in accordance with the terms of the 2023 Plan and the related awards and agreements,</w:t>
      </w:r>
    </w:p>
    <w:p>
      <w:pPr>
        <w:spacing w:after="0"/>
        <w:rPr>
          <w:sz w:val="20"/>
          <w:szCs w:val="20"/>
          <w:color w:val="auto"/>
        </w:rPr>
      </w:pPr>
      <w:r>
        <w:rPr>
          <w:rFonts w:ascii="Times New Roman" w:cs="Times New Roman" w:eastAsia="Times New Roman" w:hAnsi="Times New Roman"/>
          <w:sz w:val="18"/>
          <w:szCs w:val="18"/>
          <w:color w:val="auto"/>
        </w:rPr>
        <w:t>validly issued, fully paid and non-assessable</w:t>
      </w:r>
      <w:r>
        <w:rPr>
          <w:rFonts w:ascii="Times New Roman" w:cs="Times New Roman" w:eastAsia="Times New Roman" w:hAnsi="Times New Roman"/>
          <w:sz w:val="23"/>
          <w:szCs w:val="23"/>
          <w:color w:val="auto"/>
        </w:rPr>
        <w:t>.</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Herzog Tower, 6 Yitzhak Sadeh St. Tel Aviv 6777506, Israel Tel: +972-3-692-2020, Fax: +972-3-696-6464</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www.herzoglaw.co.il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275590</wp:posOffset>
            </wp:positionV>
            <wp:extent cx="71335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8" w:name="page9"/>
    <w:bookmarkEnd w:id="8"/>
    <w:p>
      <w:pPr>
        <w:ind w:firstLine="641"/>
        <w:spacing w:after="0" w:line="255" w:lineRule="auto"/>
        <w:rPr>
          <w:sz w:val="20"/>
          <w:szCs w:val="20"/>
          <w:color w:val="auto"/>
        </w:rPr>
      </w:pPr>
      <w:r>
        <w:rPr>
          <w:rFonts w:ascii="Times New Roman" w:cs="Times New Roman" w:eastAsia="Times New Roman" w:hAnsi="Times New Roman"/>
          <w:sz w:val="18"/>
          <w:szCs w:val="18"/>
          <w:color w:val="auto"/>
        </w:rPr>
        <w:t>We hereby consent to the filing of this opinion letter as an exhibit to the Registration Statement. In giving this opinion and such consent, we do not admit that we are within the category of persons whose consent is required under Section 7 of the Securities Act, the rules and regulations of the SEC</w:t>
      </w:r>
    </w:p>
    <w:p>
      <w:pPr>
        <w:spacing w:after="0"/>
        <w:rPr>
          <w:sz w:val="20"/>
          <w:szCs w:val="20"/>
          <w:color w:val="auto"/>
        </w:rPr>
      </w:pPr>
      <w:r>
        <w:rPr>
          <w:rFonts w:ascii="Times New Roman" w:cs="Times New Roman" w:eastAsia="Times New Roman" w:hAnsi="Times New Roman"/>
          <w:sz w:val="18"/>
          <w:szCs w:val="18"/>
          <w:color w:val="auto"/>
        </w:rPr>
        <w:t>promulgated thereunder or Item 509 of Regulation S-K promulgated under the Securities Act</w:t>
      </w:r>
      <w:r>
        <w:rPr>
          <w:rFonts w:ascii="Times New Roman" w:cs="Times New Roman" w:eastAsia="Times New Roman" w:hAnsi="Times New Roman"/>
          <w:sz w:val="23"/>
          <w:szCs w:val="23"/>
          <w:color w:val="auto"/>
        </w:rPr>
        <w:t>.</w:t>
      </w:r>
    </w:p>
    <w:p>
      <w:pPr>
        <w:spacing w:after="0" w:line="204" w:lineRule="exact"/>
        <w:rPr>
          <w:sz w:val="20"/>
          <w:szCs w:val="20"/>
          <w:color w:val="auto"/>
        </w:rPr>
      </w:pPr>
    </w:p>
    <w:p>
      <w:pPr>
        <w:ind w:firstLine="641"/>
        <w:spacing w:after="0" w:line="268" w:lineRule="auto"/>
        <w:rPr>
          <w:sz w:val="20"/>
          <w:szCs w:val="20"/>
          <w:color w:val="auto"/>
        </w:rPr>
      </w:pPr>
      <w:r>
        <w:rPr>
          <w:rFonts w:ascii="Times New Roman" w:cs="Times New Roman" w:eastAsia="Times New Roman" w:hAnsi="Times New Roman"/>
          <w:sz w:val="18"/>
          <w:szCs w:val="18"/>
          <w:color w:val="auto"/>
        </w:rPr>
        <w:t>This opinion letter is rendered as of the date hereof and we disclaim any obligation to advise you of facts, circumstances, events or developments that may be brought to our attention after the effective date of the Registration Statement that may alter, affect or modify the opinions expressed herein</w:t>
      </w:r>
      <w:r>
        <w:rPr>
          <w:rFonts w:ascii="Times New Roman" w:cs="Times New Roman" w:eastAsia="Times New Roman" w:hAnsi="Times New Roman"/>
          <w:sz w:val="23"/>
          <w:szCs w:val="23"/>
          <w:color w:val="auto"/>
        </w:rPr>
        <w:t>.</w:t>
      </w:r>
    </w:p>
    <w:p>
      <w:pPr>
        <w:spacing w:after="0" w:line="16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Herzog Fox &amp; Neeman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15875</wp:posOffset>
            </wp:positionV>
            <wp:extent cx="35623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3562350" cy="8255"/>
                    </a:xfrm>
                    <a:prstGeom prst="rect">
                      <a:avLst/>
                    </a:prstGeom>
                    <a:noFill/>
                  </pic:spPr>
                </pic:pic>
              </a:graphicData>
            </a:graphic>
          </wp:anchor>
        </w:drawing>
      </w:r>
    </w:p>
    <w:p>
      <w:pPr>
        <w:spacing w:after="0" w:line="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Herzog Fox &amp; Neeman</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Herzog Tower, 6 Yitzhak Sadeh St. Tel Aviv 6777506, Israel Tel: +972-3-692-2020, Fax: +972-3-696-6464</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www.herzoglaw.co.il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275590</wp:posOffset>
            </wp:positionV>
            <wp:extent cx="71335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21"/>
          <w:szCs w:val="21"/>
          <w:b w:val="1"/>
          <w:bCs w:val="1"/>
          <w:color w:val="auto"/>
        </w:rPr>
        <w:t>Exhibit 23.1</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pertaining to the ODDITY Tech Ltd. 2023 Incentive Award Plan of ODDITY Tech Ltd. of our reports dated March 17, 2026, with respect to the consolidated financial statements of ODDITY Tech Ltd. and the effectiveness of internal control over financial reporting of ODDITY Tech Ltd. included in its Annual Report (Form 20-F) for the year ended December 31, 2025, filed with the Securities and Exchange Commission.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Tel Aviv, Israel</w:t>
            </w:r>
          </w:p>
        </w:tc>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KOST, FORER, GABBAY &amp; KASIERER</w:t>
            </w:r>
          </w:p>
        </w:tc>
        <w:tc>
          <w:tcPr>
            <w:tcW w:w="0" w:type="dxa"/>
            <w:vAlign w:val="bottom"/>
          </w:tcPr>
          <w:p>
            <w:pPr>
              <w:spacing w:after="0"/>
              <w:rPr>
                <w:sz w:val="1"/>
                <w:szCs w:val="1"/>
                <w:color w:val="auto"/>
              </w:rPr>
            </w:pPr>
          </w:p>
        </w:tc>
      </w:tr>
      <w:tr>
        <w:trPr>
          <w:trHeight w:val="189"/>
        </w:trPr>
        <w:tc>
          <w:tcPr>
            <w:tcW w:w="5640" w:type="dxa"/>
            <w:vAlign w:val="bottom"/>
            <w:vMerge w:val="continue"/>
          </w:tcPr>
          <w:p>
            <w:pPr>
              <w:spacing w:after="0"/>
              <w:rPr>
                <w:sz w:val="16"/>
                <w:szCs w:val="16"/>
                <w:color w:val="auto"/>
              </w:rPr>
            </w:pPr>
          </w:p>
        </w:tc>
        <w:tc>
          <w:tcPr>
            <w:tcW w:w="56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KOST, FORER, GABBAY &amp; KASIERER</w:t>
            </w:r>
          </w:p>
        </w:tc>
        <w:tc>
          <w:tcPr>
            <w:tcW w:w="0" w:type="dxa"/>
            <w:vAlign w:val="bottom"/>
          </w:tcPr>
          <w:p>
            <w:pPr>
              <w:spacing w:after="0"/>
              <w:rPr>
                <w:sz w:val="1"/>
                <w:szCs w:val="1"/>
                <w:color w:val="auto"/>
              </w:rPr>
            </w:pPr>
          </w:p>
        </w:tc>
      </w:tr>
      <w:tr>
        <w:trPr>
          <w:trHeight w:val="233"/>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June 4, 2026</w:t>
            </w: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 Member of EY Global</w:t>
            </w:r>
          </w:p>
        </w:tc>
        <w:tc>
          <w:tcPr>
            <w:tcW w:w="0" w:type="dxa"/>
            <w:vAlign w:val="bottom"/>
          </w:tcPr>
          <w:p>
            <w:pPr>
              <w:spacing w:after="0"/>
              <w:rPr>
                <w:sz w:val="1"/>
                <w:szCs w:val="1"/>
                <w:color w:val="auto"/>
              </w:rPr>
            </w:pPr>
          </w:p>
        </w:tc>
      </w:tr>
      <w:tr>
        <w:trPr>
          <w:trHeight w:val="667"/>
        </w:trPr>
        <w:tc>
          <w:tcPr>
            <w:tcW w:w="564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10" w:name="page11"/>
    <w:bookmarkEnd w:id="10"/>
    <w:p>
      <w:pPr>
        <w:ind w:left="286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220"/>
        <w:spacing w:after="0"/>
        <w:rPr>
          <w:sz w:val="20"/>
          <w:szCs w:val="20"/>
          <w:color w:val="auto"/>
        </w:rPr>
      </w:pPr>
      <w:r>
        <w:rPr>
          <w:rFonts w:ascii="Arial" w:cs="Arial" w:eastAsia="Arial" w:hAnsi="Arial"/>
          <w:sz w:val="36"/>
          <w:szCs w:val="36"/>
          <w:b w:val="1"/>
          <w:bCs w:val="1"/>
          <w:color w:val="auto"/>
        </w:rPr>
        <w:t>Oddity Tech Ltd</w:t>
      </w:r>
    </w:p>
    <w:p>
      <w:pPr>
        <w:spacing w:after="0" w:line="156"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3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20" w:type="dxa"/>
            <w:vAlign w:val="bottom"/>
          </w:tcPr>
          <w:p>
            <w:pPr>
              <w:spacing w:after="0"/>
              <w:rPr>
                <w:sz w:val="19"/>
                <w:szCs w:val="19"/>
                <w:color w:val="auto"/>
              </w:rPr>
            </w:pPr>
          </w:p>
        </w:tc>
        <w:tc>
          <w:tcPr>
            <w:tcW w:w="15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40" w:type="dxa"/>
            <w:vAlign w:val="bottom"/>
            <w:tcBorders>
              <w:left w:val="single" w:sz="8" w:color="auto"/>
            </w:tcBorders>
          </w:tcPr>
          <w:p>
            <w:pPr>
              <w:spacing w:after="0"/>
              <w:rPr>
                <w:sz w:val="24"/>
                <w:szCs w:val="24"/>
                <w:color w:val="auto"/>
              </w:rPr>
            </w:pPr>
          </w:p>
        </w:tc>
        <w:tc>
          <w:tcPr>
            <w:tcW w:w="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9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20" w:type="dxa"/>
            <w:vAlign w:val="bottom"/>
          </w:tcPr>
          <w:p>
            <w:pPr>
              <w:spacing w:after="0"/>
              <w:rPr>
                <w:sz w:val="24"/>
                <w:szCs w:val="24"/>
                <w:color w:val="auto"/>
              </w:rPr>
            </w:pPr>
          </w:p>
        </w:tc>
        <w:tc>
          <w:tcPr>
            <w:tcW w:w="1140" w:type="dxa"/>
            <w:vAlign w:val="bottom"/>
            <w:shd w:val="clear" w:color="auto" w:fill="9ADAF6"/>
          </w:tcPr>
          <w:p>
            <w:pPr>
              <w:jc w:val="right"/>
              <w:ind w:right="53"/>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24"/>
                <w:szCs w:val="24"/>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4"/>
                <w:szCs w:val="24"/>
                <w:color w:val="auto"/>
              </w:rPr>
            </w:pPr>
          </w:p>
        </w:tc>
        <w:tc>
          <w:tcPr>
            <w:tcW w:w="152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Type</w:t>
            </w:r>
          </w:p>
        </w:tc>
        <w:tc>
          <w:tcPr>
            <w:tcW w:w="20" w:type="dxa"/>
            <w:vAlign w:val="bottom"/>
          </w:tcPr>
          <w:p>
            <w:pPr>
              <w:spacing w:after="0"/>
              <w:rPr>
                <w:sz w:val="20"/>
                <w:szCs w:val="20"/>
                <w:color w:val="auto"/>
              </w:rPr>
            </w:pPr>
          </w:p>
        </w:tc>
        <w:tc>
          <w:tcPr>
            <w:tcW w:w="9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Class</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Calculation</w:t>
            </w:r>
          </w:p>
        </w:tc>
        <w:tc>
          <w:tcPr>
            <w:tcW w:w="20" w:type="dxa"/>
            <w:vAlign w:val="bottom"/>
          </w:tcPr>
          <w:p>
            <w:pPr>
              <w:spacing w:after="0"/>
              <w:rPr>
                <w:sz w:val="20"/>
                <w:szCs w:val="20"/>
                <w:color w:val="auto"/>
              </w:rPr>
            </w:pPr>
          </w:p>
        </w:tc>
        <w:tc>
          <w:tcPr>
            <w:tcW w:w="1140" w:type="dxa"/>
            <w:vAlign w:val="bottom"/>
            <w:shd w:val="clear" w:color="auto" w:fill="9ADAF6"/>
          </w:tcPr>
          <w:p>
            <w:pPr>
              <w:jc w:val="right"/>
              <w:spacing w:after="0" w:line="240" w:lineRule="exact"/>
              <w:rPr>
                <w:sz w:val="20"/>
                <w:szCs w:val="20"/>
                <w:color w:val="auto"/>
              </w:rPr>
            </w:pPr>
            <w:r>
              <w:rPr>
                <w:rFonts w:ascii="Arial" w:cs="Arial" w:eastAsia="Arial" w:hAnsi="Arial"/>
                <w:sz w:val="21"/>
                <w:szCs w:val="21"/>
                <w:b w:val="1"/>
                <w:bCs w:val="1"/>
                <w:color w:val="auto"/>
              </w:rPr>
              <w:t>Registered</w:t>
            </w:r>
          </w:p>
        </w:tc>
        <w:tc>
          <w:tcPr>
            <w:tcW w:w="20" w:type="dxa"/>
            <w:vAlign w:val="bottom"/>
          </w:tcPr>
          <w:p>
            <w:pPr>
              <w:spacing w:after="0"/>
              <w:rPr>
                <w:sz w:val="20"/>
                <w:szCs w:val="20"/>
                <w:color w:val="auto"/>
              </w:rPr>
            </w:pPr>
          </w:p>
        </w:tc>
        <w:tc>
          <w:tcPr>
            <w:tcW w:w="13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152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40" w:type="dxa"/>
            <w:vAlign w:val="bottom"/>
          </w:tcPr>
          <w:p>
            <w:pPr>
              <w:spacing w:after="0"/>
              <w:rPr>
                <w:sz w:val="20"/>
                <w:szCs w:val="20"/>
                <w:color w:val="auto"/>
              </w:rPr>
            </w:pPr>
          </w:p>
        </w:tc>
        <w:tc>
          <w:tcPr>
            <w:tcW w:w="10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20"/>
                <w:szCs w:val="20"/>
                <w:color w:val="auto"/>
              </w:rPr>
            </w:pPr>
          </w:p>
        </w:tc>
        <w:tc>
          <w:tcPr>
            <w:tcW w:w="15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40" w:type="dxa"/>
            <w:vAlign w:val="bottom"/>
            <w:tcBorders>
              <w:left w:val="single" w:sz="8" w:color="auto"/>
            </w:tcBorders>
          </w:tcPr>
          <w:p>
            <w:pPr>
              <w:spacing w:after="0"/>
              <w:rPr>
                <w:sz w:val="12"/>
                <w:szCs w:val="12"/>
                <w:color w:val="auto"/>
              </w:rPr>
            </w:pPr>
          </w:p>
        </w:tc>
        <w:tc>
          <w:tcPr>
            <w:tcW w:w="1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Title</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Rule</w:t>
            </w:r>
          </w:p>
        </w:tc>
        <w:tc>
          <w:tcPr>
            <w:tcW w:w="20" w:type="dxa"/>
            <w:vAlign w:val="bottom"/>
          </w:tcPr>
          <w:p>
            <w:pPr>
              <w:spacing w:after="0"/>
              <w:rPr>
                <w:sz w:val="12"/>
                <w:szCs w:val="12"/>
                <w:color w:val="auto"/>
              </w:rPr>
            </w:pPr>
          </w:p>
        </w:tc>
        <w:tc>
          <w:tcPr>
            <w:tcW w:w="11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12"/>
                <w:szCs w:val="12"/>
                <w:color w:val="auto"/>
              </w:rPr>
            </w:pPr>
          </w:p>
        </w:tc>
        <w:tc>
          <w:tcPr>
            <w:tcW w:w="152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Offering Price</w:t>
            </w:r>
          </w:p>
        </w:tc>
        <w:tc>
          <w:tcPr>
            <w:tcW w:w="40" w:type="dxa"/>
            <w:vAlign w:val="bottom"/>
          </w:tcPr>
          <w:p>
            <w:pPr>
              <w:spacing w:after="0"/>
              <w:rPr>
                <w:sz w:val="12"/>
                <w:szCs w:val="12"/>
                <w:color w:val="auto"/>
              </w:rPr>
            </w:pPr>
          </w:p>
        </w:tc>
        <w:tc>
          <w:tcPr>
            <w:tcW w:w="10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Fee</w:t>
            </w: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Unit</w:t>
            </w:r>
          </w:p>
        </w:tc>
        <w:tc>
          <w:tcPr>
            <w:tcW w:w="20" w:type="dxa"/>
            <w:vAlign w:val="bottom"/>
          </w:tcPr>
          <w:p>
            <w:pPr>
              <w:spacing w:after="0"/>
              <w:rPr>
                <w:sz w:val="24"/>
                <w:szCs w:val="24"/>
                <w:color w:val="auto"/>
              </w:rPr>
            </w:pPr>
          </w:p>
        </w:tc>
        <w:tc>
          <w:tcPr>
            <w:tcW w:w="152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line="227" w:lineRule="exact"/>
              <w:rPr>
                <w:sz w:val="20"/>
                <w:szCs w:val="20"/>
                <w:color w:val="auto"/>
              </w:rPr>
            </w:pPr>
            <w:r>
              <w:rPr>
                <w:rFonts w:ascii="Arial" w:cs="Arial" w:eastAsia="Arial" w:hAnsi="Arial"/>
                <w:sz w:val="21"/>
                <w:szCs w:val="21"/>
                <w:color w:val="auto"/>
              </w:rPr>
              <w:t>Class A</w:t>
            </w:r>
          </w:p>
        </w:tc>
        <w:tc>
          <w:tcPr>
            <w:tcW w:w="4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ordinary</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shares,</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40" w:type="dxa"/>
            <w:vAlign w:val="bottom"/>
            <w:tcBorders>
              <w:left w:val="single" w:sz="8" w:color="auto"/>
            </w:tcBorders>
          </w:tcPr>
          <w:p>
            <w:pPr>
              <w:spacing w:after="0"/>
              <w:rPr>
                <w:sz w:val="10"/>
                <w:szCs w:val="10"/>
                <w:color w:val="auto"/>
              </w:rPr>
            </w:pPr>
          </w:p>
        </w:tc>
        <w:tc>
          <w:tcPr>
            <w:tcW w:w="18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w:t>
            </w:r>
          </w:p>
        </w:tc>
        <w:tc>
          <w:tcPr>
            <w:tcW w:w="20" w:type="dxa"/>
            <w:vAlign w:val="bottom"/>
          </w:tcPr>
          <w:p>
            <w:pPr>
              <w:spacing w:after="0"/>
              <w:rPr>
                <w:sz w:val="10"/>
                <w:szCs w:val="10"/>
                <w:color w:val="auto"/>
              </w:rPr>
            </w:pPr>
          </w:p>
        </w:tc>
        <w:tc>
          <w:tcPr>
            <w:tcW w:w="960" w:type="dxa"/>
            <w:vAlign w:val="bottom"/>
            <w:vMerge w:val="restart"/>
            <w:shd w:val="clear" w:color="auto" w:fill="E7E7E2"/>
          </w:tcPr>
          <w:p>
            <w:pPr>
              <w:spacing w:after="0"/>
              <w:rPr>
                <w:sz w:val="20"/>
                <w:szCs w:val="20"/>
                <w:color w:val="auto"/>
              </w:rPr>
            </w:pPr>
            <w:r>
              <w:rPr>
                <w:rFonts w:ascii="Arial" w:cs="Arial" w:eastAsia="Arial" w:hAnsi="Arial"/>
                <w:sz w:val="21"/>
                <w:szCs w:val="21"/>
                <w:color w:val="auto"/>
              </w:rPr>
              <w:t>Equity</w:t>
            </w:r>
          </w:p>
        </w:tc>
        <w:tc>
          <w:tcPr>
            <w:tcW w:w="20" w:type="dxa"/>
            <w:vAlign w:val="bottom"/>
          </w:tcPr>
          <w:p>
            <w:pPr>
              <w:spacing w:after="0"/>
              <w:rPr>
                <w:sz w:val="10"/>
                <w:szCs w:val="10"/>
                <w:color w:val="auto"/>
              </w:rPr>
            </w:pPr>
          </w:p>
        </w:tc>
        <w:tc>
          <w:tcPr>
            <w:tcW w:w="940" w:type="dxa"/>
            <w:vAlign w:val="bottom"/>
            <w:vMerge w:val="restart"/>
            <w:shd w:val="clear" w:color="auto" w:fill="E7E7E2"/>
          </w:tcPr>
          <w:p>
            <w:pPr>
              <w:spacing w:after="0"/>
              <w:rPr>
                <w:sz w:val="20"/>
                <w:szCs w:val="20"/>
                <w:color w:val="auto"/>
              </w:rPr>
            </w:pPr>
            <w:r>
              <w:rPr>
                <w:rFonts w:ascii="Arial" w:cs="Arial" w:eastAsia="Arial" w:hAnsi="Arial"/>
                <w:sz w:val="21"/>
                <w:szCs w:val="21"/>
                <w:color w:val="auto"/>
              </w:rPr>
              <w:t>par value</w:t>
            </w:r>
          </w:p>
        </w:tc>
        <w:tc>
          <w:tcPr>
            <w:tcW w:w="40" w:type="dxa"/>
            <w:vAlign w:val="bottom"/>
          </w:tcPr>
          <w:p>
            <w:pPr>
              <w:spacing w:after="0"/>
              <w:rPr>
                <w:sz w:val="10"/>
                <w:szCs w:val="10"/>
                <w:color w:val="auto"/>
              </w:rPr>
            </w:pPr>
          </w:p>
        </w:tc>
        <w:tc>
          <w:tcPr>
            <w:tcW w:w="118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w w:val="98"/>
              </w:rPr>
              <w:t>Other</w:t>
            </w:r>
          </w:p>
        </w:tc>
        <w:tc>
          <w:tcPr>
            <w:tcW w:w="20" w:type="dxa"/>
            <w:vAlign w:val="bottom"/>
          </w:tcPr>
          <w:p>
            <w:pPr>
              <w:spacing w:after="0"/>
              <w:rPr>
                <w:sz w:val="10"/>
                <w:szCs w:val="10"/>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8,513,503</w:t>
            </w:r>
          </w:p>
        </w:tc>
        <w:tc>
          <w:tcPr>
            <w:tcW w:w="20" w:type="dxa"/>
            <w:vAlign w:val="bottom"/>
          </w:tcPr>
          <w:p>
            <w:pPr>
              <w:spacing w:after="0"/>
              <w:rPr>
                <w:sz w:val="10"/>
                <w:szCs w:val="10"/>
                <w:color w:val="auto"/>
              </w:rPr>
            </w:pPr>
          </w:p>
        </w:tc>
        <w:tc>
          <w:tcPr>
            <w:tcW w:w="13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$ 9.92</w:t>
            </w:r>
          </w:p>
        </w:tc>
        <w:tc>
          <w:tcPr>
            <w:tcW w:w="20" w:type="dxa"/>
            <w:vAlign w:val="bottom"/>
          </w:tcPr>
          <w:p>
            <w:pPr>
              <w:spacing w:after="0"/>
              <w:rPr>
                <w:sz w:val="10"/>
                <w:szCs w:val="10"/>
                <w:color w:val="auto"/>
              </w:rPr>
            </w:pPr>
          </w:p>
        </w:tc>
        <w:tc>
          <w:tcPr>
            <w:tcW w:w="1520" w:type="dxa"/>
            <w:vAlign w:val="bottom"/>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10"/>
                <w:szCs w:val="10"/>
                <w:color w:val="auto"/>
              </w:rPr>
            </w:pPr>
          </w:p>
        </w:tc>
        <w:tc>
          <w:tcPr>
            <w:tcW w:w="150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$ 11,663.09</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8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shd w:val="clear" w:color="auto" w:fill="E7E7E2"/>
          </w:tcPr>
          <w:p>
            <w:pPr>
              <w:jc w:val="right"/>
              <w:spacing w:after="0" w:line="214" w:lineRule="exact"/>
              <w:rPr>
                <w:sz w:val="20"/>
                <w:szCs w:val="20"/>
                <w:color w:val="auto"/>
              </w:rPr>
            </w:pPr>
            <w:r>
              <w:rPr>
                <w:rFonts w:ascii="Arial" w:cs="Arial" w:eastAsia="Arial" w:hAnsi="Arial"/>
                <w:sz w:val="21"/>
                <w:szCs w:val="21"/>
                <w:color w:val="auto"/>
              </w:rPr>
              <w:t>84,453,949.76</w:t>
            </w:r>
          </w:p>
        </w:tc>
        <w:tc>
          <w:tcPr>
            <w:tcW w:w="40" w:type="dxa"/>
            <w:vAlign w:val="bottom"/>
          </w:tcPr>
          <w:p>
            <w:pPr>
              <w:spacing w:after="0"/>
              <w:rPr>
                <w:sz w:val="18"/>
                <w:szCs w:val="18"/>
                <w:color w:val="auto"/>
              </w:rPr>
            </w:pPr>
          </w:p>
        </w:tc>
        <w:tc>
          <w:tcPr>
            <w:tcW w:w="10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vMerge w:val="continue"/>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40" w:type="dxa"/>
            <w:vAlign w:val="bottom"/>
            <w:tcBorders>
              <w:left w:val="single" w:sz="8" w:color="auto"/>
            </w:tcBorders>
          </w:tcPr>
          <w:p>
            <w:pPr>
              <w:spacing w:after="0"/>
              <w:rPr>
                <w:sz w:val="12"/>
                <w:szCs w:val="12"/>
                <w:color w:val="auto"/>
              </w:rPr>
            </w:pPr>
          </w:p>
        </w:tc>
        <w:tc>
          <w:tcPr>
            <w:tcW w:w="1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shd w:val="clear" w:color="auto" w:fill="E7E7E2"/>
          </w:tcPr>
          <w:p>
            <w:pPr>
              <w:spacing w:after="0" w:line="147" w:lineRule="exact"/>
              <w:rPr>
                <w:sz w:val="20"/>
                <w:szCs w:val="20"/>
                <w:color w:val="auto"/>
              </w:rPr>
            </w:pPr>
            <w:r>
              <w:rPr>
                <w:rFonts w:ascii="Arial" w:cs="Arial" w:eastAsia="Arial" w:hAnsi="Arial"/>
                <w:sz w:val="17"/>
                <w:szCs w:val="17"/>
                <w:color w:val="auto"/>
              </w:rPr>
              <w:t>NIS</w:t>
            </w:r>
          </w:p>
        </w:tc>
        <w:tc>
          <w:tcPr>
            <w:tcW w:w="40" w:type="dxa"/>
            <w:vAlign w:val="bottom"/>
          </w:tcPr>
          <w:p>
            <w:pPr>
              <w:spacing w:after="0"/>
              <w:rPr>
                <w:sz w:val="12"/>
                <w:szCs w:val="12"/>
                <w:color w:val="auto"/>
              </w:rPr>
            </w:pPr>
          </w:p>
        </w:tc>
        <w:tc>
          <w:tcPr>
            <w:tcW w:w="11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shd w:val="clear" w:color="auto" w:fill="E7E7E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0.001 per</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E7E7E2"/>
          </w:tcPr>
          <w:p>
            <w:pPr>
              <w:spacing w:after="0"/>
              <w:rPr>
                <w:sz w:val="20"/>
                <w:szCs w:val="20"/>
                <w:color w:val="auto"/>
              </w:rPr>
            </w:pPr>
            <w:r>
              <w:rPr>
                <w:rFonts w:ascii="Arial" w:cs="Arial" w:eastAsia="Arial" w:hAnsi="Arial"/>
                <w:sz w:val="21"/>
                <w:szCs w:val="21"/>
                <w:color w:val="auto"/>
              </w:rPr>
              <w:t>share</w:t>
            </w:r>
          </w:p>
        </w:tc>
        <w:tc>
          <w:tcPr>
            <w:tcW w:w="40" w:type="dxa"/>
            <w:vAlign w:val="bottom"/>
          </w:tcPr>
          <w:p>
            <w:pPr>
              <w:spacing w:after="0"/>
              <w:rPr>
                <w:sz w:val="24"/>
                <w:szCs w:val="24"/>
                <w:color w:val="auto"/>
              </w:rPr>
            </w:pPr>
          </w:p>
        </w:tc>
        <w:tc>
          <w:tcPr>
            <w:tcW w:w="11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$ 11,663.09</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84,453,949.76</w:t>
            </w: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$ 11,663.09</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Offering Note</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3"/>
          <w:szCs w:val="13"/>
          <w:color w:val="auto"/>
        </w:rPr>
        <w:t>1</w:t>
      </w:r>
    </w:p>
    <w:p>
      <w:pPr>
        <w:spacing w:after="0" w:line="77" w:lineRule="exact"/>
        <w:rPr>
          <w:sz w:val="20"/>
          <w:szCs w:val="20"/>
          <w:color w:val="auto"/>
        </w:rPr>
      </w:pPr>
    </w:p>
    <w:p>
      <w:pPr>
        <w:ind w:left="800" w:right="840"/>
        <w:spacing w:after="0" w:line="248" w:lineRule="auto"/>
        <w:rPr>
          <w:sz w:val="20"/>
          <w:szCs w:val="20"/>
          <w:color w:val="auto"/>
        </w:rPr>
      </w:pPr>
      <w:r>
        <w:rPr>
          <w:rFonts w:ascii="Arial" w:cs="Arial" w:eastAsia="Arial" w:hAnsi="Arial"/>
          <w:sz w:val="21"/>
          <w:szCs w:val="21"/>
          <w:color w:val="auto"/>
        </w:rPr>
        <w:t>Note to Amount Registered: (1) Represents 8,513,503 additional Class A ordinary shares, par value NIS 0.001 per share ("Class A ordinary shares"), of ODDITY Tech Ltd. (the "Registrant") reserved for issuance under the ODDITY Tech Ltd. 2023 Incentive Award Plan (the "2023 Plan") as a result of automatic annual share reserve increases that occurred on January 1, 2024, 2025 and 2026 pursuant to an annual increase provision described in Sections 4.1 and 11.25 of the 2023 Plan.</w:t>
      </w:r>
    </w:p>
    <w:p>
      <w:pPr>
        <w:spacing w:after="0" w:line="195" w:lineRule="exact"/>
        <w:rPr>
          <w:sz w:val="20"/>
          <w:szCs w:val="20"/>
          <w:color w:val="auto"/>
        </w:rPr>
      </w:pPr>
    </w:p>
    <w:p>
      <w:pPr>
        <w:ind w:left="800" w:right="760"/>
        <w:spacing w:after="0" w:line="248" w:lineRule="auto"/>
        <w:rPr>
          <w:sz w:val="20"/>
          <w:szCs w:val="20"/>
          <w:color w:val="auto"/>
        </w:rPr>
      </w:pPr>
      <w:r>
        <w:rPr>
          <w:rFonts w:ascii="Arial" w:cs="Arial" w:eastAsia="Arial" w:hAnsi="Arial"/>
          <w:sz w:val="21"/>
          <w:szCs w:val="21"/>
          <w:color w:val="auto"/>
        </w:rPr>
        <w:t>Note to Amount Registered: (2) Pursuant to Rule 416(a) under the Securities Act of 1933, as amended (the "Securities Act"), this Registration Statement shall also cover any additional Class A ordinary shares that become issuable under the 2023 Plan by reason of any share dividend, share split, recapitalization or other similar transaction that results in an increase in the number of the outstanding Class A ordinary shares.</w:t>
      </w:r>
    </w:p>
    <w:p>
      <w:pPr>
        <w:spacing w:after="0" w:line="195" w:lineRule="exact"/>
        <w:rPr>
          <w:sz w:val="20"/>
          <w:szCs w:val="20"/>
          <w:color w:val="auto"/>
        </w:rPr>
      </w:pPr>
    </w:p>
    <w:p>
      <w:pPr>
        <w:ind w:left="800" w:right="700"/>
        <w:spacing w:after="0" w:line="252" w:lineRule="auto"/>
        <w:rPr>
          <w:sz w:val="20"/>
          <w:szCs w:val="20"/>
          <w:color w:val="auto"/>
        </w:rPr>
      </w:pPr>
      <w:r>
        <w:rPr>
          <w:rFonts w:ascii="Arial" w:cs="Arial" w:eastAsia="Arial" w:hAnsi="Arial"/>
          <w:sz w:val="21"/>
          <w:szCs w:val="21"/>
          <w:color w:val="auto"/>
        </w:rPr>
        <w:t>Note to Proposed Maximum Offering Price Per Unit and Maximum Aggregate Offering Price: (3) Estimated solely for the purpose of calculating the registration fee pursuant to Rules 457(c) and 457(h) of the Securities Act and based upon the average of the high and low prices of the Registrant's Class A ordinary share as reported on The Nasdaq Global Market on June 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225425</wp:posOffset>
            </wp:positionV>
            <wp:extent cx="63874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142" w:right="299" w:bottom="1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0"/>
                <w:szCs w:val="10"/>
                <w:color w:val="auto"/>
              </w:rPr>
            </w:pPr>
          </w:p>
        </w:tc>
        <w:tc>
          <w:tcPr>
            <w:tcW w:w="6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215"/>
        </w:trPr>
        <w:tc>
          <w:tcPr>
            <w:tcW w:w="6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Filing</w:t>
            </w:r>
          </w:p>
        </w:tc>
        <w:tc>
          <w:tcPr>
            <w:tcW w:w="40" w:type="dxa"/>
            <w:vAlign w:val="bottom"/>
          </w:tcPr>
          <w:p>
            <w:pPr>
              <w:spacing w:after="0"/>
              <w:rPr>
                <w:sz w:val="14"/>
                <w:szCs w:val="14"/>
                <w:color w:val="auto"/>
              </w:rPr>
            </w:pPr>
          </w:p>
        </w:tc>
        <w:tc>
          <w:tcPr>
            <w:tcW w:w="84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Number</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18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1"/>
                <w:szCs w:val="21"/>
                <w:color w:val="auto"/>
              </w:rPr>
            </w:pPr>
          </w:p>
        </w:tc>
        <w:tc>
          <w:tcPr>
            <w:tcW w:w="760" w:type="dxa"/>
            <w:vAlign w:val="bottom"/>
            <w:shd w:val="clear" w:color="auto" w:fill="9ADAF6"/>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142"/>
        </w:trPr>
        <w:tc>
          <w:tcPr>
            <w:tcW w:w="8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8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4"/>
                <w:szCs w:val="24"/>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sectPr>
      <w:pgSz w:w="11900" w:h="16838" w:orient="portrait"/>
      <w:cols w:equalWidth="0" w:num="3">
        <w:col w:w="1980" w:space="40"/>
        <w:col w:w="2720" w:space="40"/>
        <w:col w:w="6460"/>
      </w:cols>
      <w:pgMar w:left="360" w:top="142" w:right="299" w:bottom="13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Letter"/>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jpe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20" Type="http://schemas.openxmlformats.org/officeDocument/2006/relationships/hyperlink" Target="https://www.sec.gov/Archives/edgar/data/1907085/000110465926029490/odd-20251231x20f.htm" TargetMode="External"/><Relationship Id="rId21" Type="http://schemas.openxmlformats.org/officeDocument/2006/relationships/hyperlink" Target="https://www.sec.gov/Archives/edgar/data/1907085/000110465926069208/tm2615689d1_6k.htm" TargetMode="External"/><Relationship Id="rId22" Type="http://schemas.openxmlformats.org/officeDocument/2006/relationships/hyperlink" Target="https://www.sec.gov/Archives/edgar/data/1907085/000110465923081194/tm2321192d1_8a12b.htm" TargetMode="External"/><Relationship Id="rId26" Type="http://schemas.openxmlformats.org/officeDocument/2006/relationships/hyperlink" Target="https://www.sec.gov/Archives/edgar/data/1907085/000110465924031179/tmb-20231231xex1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2026-06-04T16:33:26Z</dcterms:created>
  <dcterms:modified xsi:type="dcterms:W3CDTF">2026-06-04T16:33:26Z</dcterms:modified>
</cp:coreProperties>
</file>