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518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1815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728"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Drucker Mann Lindsay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GREENE STREET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Oddity Tech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ODD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0000FF"/>
        </w:rPr>
        <w:t>Global Chief Financial Officer</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728"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6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0" w:type="dxa"/>
            <w:vAlign w:val="bottom"/>
            <w:gridSpan w:val="6"/>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2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06/30/2026</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79"/>
                <w:vertAlign w:val="subscript"/>
              </w:rPr>
              <w:t>M</w:t>
            </w:r>
            <w:r>
              <w:rPr>
                <w:rFonts w:ascii="Times New Roman" w:cs="Times New Roman" w:eastAsia="Times New Roman" w:hAnsi="Times New Roman"/>
                <w:sz w:val="11"/>
                <w:szCs w:val="11"/>
                <w:color w:val="008000"/>
                <w:w w:val="79"/>
              </w:rPr>
              <w:t>(1)</w:t>
            </w:r>
          </w:p>
        </w:tc>
        <w:tc>
          <w:tcPr>
            <w:tcW w:w="76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w w:val="97"/>
              </w:rPr>
              <w:t>100,000</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177,709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2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06/30/2026</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6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w w:val="92"/>
              </w:rPr>
              <w:t>100,000</w:t>
            </w:r>
            <w:r>
              <w:rPr>
                <w:rFonts w:ascii="Times New Roman" w:cs="Times New Roman" w:eastAsia="Times New Roman" w:hAnsi="Times New Roman"/>
                <w:sz w:val="21"/>
                <w:szCs w:val="21"/>
                <w:color w:val="008000"/>
                <w:w w:val="92"/>
                <w:vertAlign w:val="superscript"/>
              </w:rPr>
              <w:t>(2)</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15.09</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77,709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20" w:type="dxa"/>
            <w:vAlign w:val="bottom"/>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06/30/2026</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ind w:left="33"/>
              <w:spacing w:after="0"/>
              <w:rPr>
                <w:sz w:val="20"/>
                <w:szCs w:val="20"/>
                <w:color w:val="auto"/>
              </w:rPr>
            </w:pPr>
            <w:r>
              <w:rPr>
                <w:rFonts w:ascii="Times New Roman" w:cs="Times New Roman" w:eastAsia="Times New Roman" w:hAnsi="Times New Roman"/>
                <w:sz w:val="17"/>
                <w:szCs w:val="17"/>
                <w:color w:val="0000FF"/>
                <w:w w:val="98"/>
              </w:rPr>
              <w:t>23,929</w:t>
            </w: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101,638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20" w:type="dxa"/>
            <w:vAlign w:val="bottom"/>
            <w:tcBorders>
              <w:bottom w:val="single" w:sz="8" w:color="2C2C2C"/>
            </w:tcBorders>
            <w:gridSpan w:val="3"/>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06/30/2026</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w w:val="91"/>
              </w:rPr>
              <w:t>9,602</w:t>
            </w:r>
            <w:r>
              <w:rPr>
                <w:rFonts w:ascii="Times New Roman" w:cs="Times New Roman" w:eastAsia="Times New Roman" w:hAnsi="Times New Roman"/>
                <w:sz w:val="21"/>
                <w:szCs w:val="21"/>
                <w:color w:val="008000"/>
                <w:w w:val="91"/>
                <w:vertAlign w:val="superscript"/>
              </w:rPr>
              <w:t>(4)</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15.1</w:t>
            </w:r>
            <w:r>
              <w:rPr>
                <w:rFonts w:ascii="Times New Roman" w:cs="Times New Roman" w:eastAsia="Times New Roman" w:hAnsi="Times New Roman"/>
                <w:sz w:val="21"/>
                <w:szCs w:val="21"/>
                <w:color w:val="008000"/>
                <w:w w:val="89"/>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92,036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gridSpan w:val="2"/>
            <w:vMerge w:val="restart"/>
          </w:tcPr>
          <w:p>
            <w:pPr>
              <w:jc w:val="center"/>
              <w:ind w:right="136"/>
              <w:spacing w:after="0" w:line="204" w:lineRule="exact"/>
              <w:rPr>
                <w:sz w:val="20"/>
                <w:szCs w:val="20"/>
                <w:color w:val="auto"/>
              </w:rPr>
            </w:pPr>
            <w:r>
              <w:rPr>
                <w:rFonts w:ascii="Times New Roman" w:cs="Times New Roman" w:eastAsia="Times New Roman" w:hAnsi="Times New Roman"/>
                <w:sz w:val="23"/>
                <w:szCs w:val="23"/>
                <w:color w:val="0000FF"/>
                <w:w w:val="86"/>
                <w:vertAlign w:val="subscript"/>
              </w:rPr>
              <w:t>M</w:t>
            </w:r>
            <w:r>
              <w:rPr>
                <w:rFonts w:ascii="Times New Roman" w:cs="Times New Roman" w:eastAsia="Times New Roman" w:hAnsi="Times New Roman"/>
                <w:sz w:val="10"/>
                <w:szCs w:val="10"/>
                <w:color w:val="008000"/>
                <w:w w:val="86"/>
              </w:rPr>
              <w:t>(1)</w:t>
            </w: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9.39</w:t>
            </w:r>
          </w:p>
        </w:tc>
        <w:tc>
          <w:tcPr>
            <w:tcW w:w="140" w:type="dxa"/>
            <w:vAlign w:val="bottom"/>
          </w:tcPr>
          <w:p>
            <w:pPr>
              <w:spacing w:after="0"/>
              <w:rPr>
                <w:sz w:val="6"/>
                <w:szCs w:val="6"/>
                <w:color w:val="auto"/>
              </w:rPr>
            </w:pP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760" w:type="dxa"/>
            <w:vAlign w:val="bottom"/>
            <w:vMerge w:val="continue"/>
          </w:tcPr>
          <w:p>
            <w:pPr>
              <w:spacing w:after="0"/>
              <w:rPr>
                <w:sz w:val="6"/>
                <w:szCs w:val="6"/>
                <w:color w:val="auto"/>
              </w:rPr>
            </w:pPr>
          </w:p>
        </w:tc>
        <w:tc>
          <w:tcPr>
            <w:tcW w:w="760" w:type="dxa"/>
            <w:vAlign w:val="bottom"/>
            <w:vMerge w:val="restart"/>
          </w:tcPr>
          <w:p>
            <w:pPr>
              <w:jc w:val="right"/>
              <w:ind w:right="53"/>
              <w:spacing w:after="0" w:line="141" w:lineRule="exact"/>
              <w:rPr>
                <w:sz w:val="20"/>
                <w:szCs w:val="20"/>
                <w:color w:val="auto"/>
              </w:rPr>
            </w:pPr>
            <w:r>
              <w:rPr>
                <w:rFonts w:ascii="Times New Roman" w:cs="Times New Roman" w:eastAsia="Times New Roman" w:hAnsi="Times New Roman"/>
                <w:sz w:val="13"/>
                <w:szCs w:val="13"/>
                <w:color w:val="0000FF"/>
              </w:rPr>
              <w:t>08/10/2031</w:t>
            </w:r>
          </w:p>
        </w:tc>
        <w:tc>
          <w:tcPr>
            <w:tcW w:w="52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326,840</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1"/>
                <w:szCs w:val="11"/>
                <w:color w:val="008000"/>
              </w:rPr>
              <w:t>(7)</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23,929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256"/>
              <w:spacing w:after="0" w:line="141" w:lineRule="exact"/>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Pr>
          <w:p>
            <w:pPr>
              <w:spacing w:after="0"/>
              <w:rPr>
                <w:sz w:val="12"/>
                <w:szCs w:val="12"/>
                <w:color w:val="auto"/>
              </w:rPr>
            </w:pPr>
          </w:p>
        </w:tc>
        <w:tc>
          <w:tcPr>
            <w:tcW w:w="90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23,929</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765,735</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-2186305</wp:posOffset>
            </wp:positionV>
            <wp:extent cx="29210" cy="2191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13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March 13, 2026.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Class A ordinary shares sold in connection with the broker-assisted cashless exercise of the Stock Options reported on this Form 4.</w:t>
      </w:r>
    </w:p>
    <w:p>
      <w:pPr>
        <w:spacing w:after="0" w:line="42" w:lineRule="exact"/>
        <w:rPr>
          <w:rFonts w:ascii="Times New Roman" w:cs="Times New Roman" w:eastAsia="Times New Roman" w:hAnsi="Times New Roman"/>
          <w:sz w:val="13"/>
          <w:szCs w:val="13"/>
          <w:color w:val="008000"/>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Class A ordinary shares were sold in multiple transactions at prices ranging from $15.00 to $15.28 per share. The reporting person undertakes to provide to ODDITY Tech Ltd. (the "Issuer"), any security holder of the Issuer or the Staff of the Securities and Exchange Commission upon request, full information regarding the number of Class A ordinary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Class A ordinary shares sold in connection with the vesting of Restricted Stock Units ("RSUs") solely to satisfy statutory tax withholding obligations incurred upon vesting.</w:t>
      </w:r>
    </w:p>
    <w:p>
      <w:pPr>
        <w:spacing w:after="0" w:line="42"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Class A ordinary shares were sold in multiple transactions at prices ranging from $14.89 to $15.26 per share. The reporting person undertakes to provide to the Issuer, any security holder of the Issuer or the Staff of the Securities and Exchange Commission upon request, full information regarding the number of Class A ordinary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was granted on August 12, 2021 and is fully vested.</w:t>
      </w:r>
    </w:p>
    <w:p>
      <w:pPr>
        <w:spacing w:after="0" w:line="42" w:lineRule="exact"/>
        <w:rPr>
          <w:rFonts w:ascii="Times New Roman" w:cs="Times New Roman" w:eastAsia="Times New Roman" w:hAnsi="Times New Roman"/>
          <w:sz w:val="13"/>
          <w:szCs w:val="13"/>
          <w:color w:val="008000"/>
        </w:rPr>
      </w:pPr>
    </w:p>
    <w:p>
      <w:pPr>
        <w:ind w:left="40" w:right="28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Class A ordinary shares on a one-for-one basis. Four installments of the award have vested, and the remainder will vest in approximately equal installments on the last day of every calendar month, with the last installment to vest on February 28, 2029.</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Sarit Rosenberg, attorney-in- </w:t>
      </w:r>
      <w:r>
        <w:rPr>
          <w:rFonts w:ascii="Times New Roman" w:cs="Times New Roman" w:eastAsia="Times New Roman" w:hAnsi="Times New Roman"/>
          <w:sz w:val="31"/>
          <w:szCs w:val="31"/>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Lindsay Drucker 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317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762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127" TargetMode="External"/><Relationship Id="rId14" Type="http://schemas.openxmlformats.org/officeDocument/2006/relationships/hyperlink" Target="http://www.sec.gov/cgi-bin/browse-edgar?action=getcompany&amp;CIK=0001907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2026-07-01T10:22:18Z</dcterms:created>
  <dcterms:modified xsi:type="dcterms:W3CDTF">2026-07-01T10:22:18Z</dcterms:modified>
</cp:coreProperties>
</file>