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Oddity Tech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4,646,785.00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5,058,844.00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5,062,502.00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4,619,648.00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5,034,437.00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5,034,437.00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Oddity Tech Ltd</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 HAHARASH, TEL AVIV-JAFFA, L3, 6761304</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14.6  %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Morgan Stanley Investment Management Inc.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Deidre A. Downes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Authorized Signatory, Morgan Stanley Investment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No.M7518J104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13,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hereby agree that, unless differentiated, this Schedule 13G is</w:t>
      </w:r>
    </w:p>
    <w:p>
      <w:pPr>
        <w:pStyle w:val="PreformattedText"/>
        <w:bidi w:val="0"/>
        <w:spacing w:before="0" w:after="0"/>
        <w:jc w:val="left"/>
        <w:rPr/>
      </w:pPr>
      <w:r>
        <w:rPr/>
      </w:r>
    </w:p>
    <w:p>
      <w:pPr>
        <w:pStyle w:val="PreformattedText"/>
        <w:bidi w:val="0"/>
        <w:spacing w:before="0" w:after="0"/>
        <w:jc w:val="left"/>
        <w:rPr/>
      </w:pPr>
      <w:r>
        <w:rPr/>
        <w:t xml:space="preserve">              </w:t>
      </w:r>
      <w:r>
        <w:rPr/>
        <w:t>filed on 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BY: /s/ Deidre A. Downes</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Deidre A. Downes/Authorized Signatory,</w:t>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No.M7518J104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 a wholly-owned subsidiary of</w:t>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1235</Words>
  <Characters>6986</Characters>
  <CharactersWithSpaces>8578</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