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853-1_4seq1.xml.htm"/>
      <w:bookmarkStart w:id="1" w:name="kstm262085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Cheresniya Ohad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HAHARASH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AVIV-JAFFA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6761304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6"/>
        <w:gridCol w:w="774"/>
        <w:gridCol w:w="602"/>
        <w:gridCol w:w="353"/>
        <w:gridCol w:w="861"/>
        <w:gridCol w:w="467"/>
        <w:gridCol w:w="680"/>
        <w:gridCol w:w="1184"/>
        <w:gridCol w:w="1014"/>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2,956</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12,917</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3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ordinary shares on a one-for-one basis. 2,956 RSUs, granted on July 19, 2023, vested on July 19, 2026. 4,596 RSUs, granted on November 13, 2025, will vest on July 28, 2026, the date immediately preceding the first Annual General Meeting of Shareholders of ODDITY Tech Ltd. (the "Issuer") following the grant, pursuant to the Issuer's Non-Employee Director Compensation Policy.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Ohad Cheresniya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123"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3533</Characters>
  <CharactersWithSpaces>4105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