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15"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UNDER THE SECURITIES EXCHANGE</w:t>
      </w:r>
    </w:p>
    <w:p>
      <w:pPr>
        <w:spacing w:after="0" w:line="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001-41745</w:t>
      </w:r>
    </w:p>
    <w:p>
      <w:pPr>
        <w:spacing w:after="0" w:line="21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5"/>
          <w:szCs w:val="25"/>
          <w:b w:val="1"/>
          <w:bCs w:val="1"/>
          <w:color w:val="auto"/>
        </w:rPr>
        <w:t>ODDITY Tech Ltd.</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8 HaHarash Street,</w:t>
      </w:r>
    </w:p>
    <w:p>
      <w:pPr>
        <w:spacing w:after="0" w:line="3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Tel Aviv-Jaffa, 6761304, Israel</w:t>
      </w:r>
    </w:p>
    <w:p>
      <w:pPr>
        <w:spacing w:after="0" w:line="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4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0" w:right="1440" w:bottom="1440" w:gutter="0" w:footer="0" w:header="0"/>
        </w:sectPr>
      </w:pPr>
    </w:p>
    <w:bookmarkStart w:id="1" w:name="page2"/>
    <w:bookmarkEnd w:id="1"/>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June 2, 2026, ODDITY Tech Ltd. (the “Company”) issued a press release announcing financial results for the first quarter ended March 31, 2026. A copy of the press release is furnished as Exhibit 99.1 to this Form 6-K.</w:t>
      </w:r>
    </w:p>
    <w:p>
      <w:pPr>
        <w:spacing w:after="0" w:line="162" w:lineRule="exact"/>
        <w:rPr>
          <w:sz w:val="20"/>
          <w:szCs w:val="20"/>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Report of Foreign Private Issuer on Form 6-K (“Report”) (other than the portion of Exhibit 99.1 under the caption “Financial Outlook”) is incorporated by reference into the Company’s Registration Statement on Form S-8 (</w:t>
      </w:r>
      <w:hyperlink r:id="rId13">
        <w:r>
          <w:rPr>
            <w:rFonts w:ascii="Times New Roman" w:cs="Times New Roman" w:eastAsia="Times New Roman" w:hAnsi="Times New Roman"/>
            <w:sz w:val="18"/>
            <w:szCs w:val="18"/>
            <w:u w:val="single" w:color="auto"/>
            <w:color w:val="0000EE"/>
          </w:rPr>
          <w:t>File No. 333-274796</w:t>
        </w:r>
      </w:hyperlink>
      <w:r>
        <w:rPr>
          <w:rFonts w:ascii="Times New Roman" w:cs="Times New Roman" w:eastAsia="Times New Roman" w:hAnsi="Times New Roman"/>
          <w:sz w:val="18"/>
          <w:szCs w:val="18"/>
          <w:color w:val="auto"/>
        </w:rPr>
        <w:t>) filed with the Securities and Exchange Commission, to be a part thereof from the date on which this Report is submitted,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900" w:right="49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ODDITY Tech Ltd., dated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ODDITY TECH LTD.</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Lindsay Drucker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Lindsay Drucker Mann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Global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168275</wp:posOffset>
            </wp:positionV>
            <wp:extent cx="1148715"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1487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ODDITY TECH REPORTS FIRST QUARTER 2026 RESULTS, MAKES PROGRESS TOWARD NORMALIZATION</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First quarter net revenue of $197.9 million, down approximately 26% year-over-year</w:t>
      </w:r>
    </w:p>
    <w:p>
      <w:pPr>
        <w:spacing w:after="0" w:line="30"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First quarter adjusted EBITDA of $(7.0) million</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First quarter net loss of $(21.4) million and first quarter adjusted net loss of $(9.8) million</w:t>
      </w:r>
    </w:p>
    <w:p>
      <w:pPr>
        <w:spacing w:after="0" w:line="8" w:lineRule="exact"/>
        <w:rPr>
          <w:rFonts w:ascii="Arial" w:cs="Arial" w:eastAsia="Arial" w:hAnsi="Arial"/>
          <w:sz w:val="18"/>
          <w:szCs w:val="18"/>
          <w:b w:val="1"/>
          <w:bCs w:val="1"/>
          <w:color w:val="auto"/>
        </w:rPr>
      </w:pPr>
    </w:p>
    <w:p>
      <w:pPr>
        <w:ind w:left="660" w:right="80" w:hanging="328"/>
        <w:spacing w:after="0" w:line="259"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Strong liquidity position including cash, cash equivalents and investments of $667.4 million, and aggregate credit facilities of $350 million which remain undrawn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June 2, 2026 -- ODDITY Tech Ltd. (NASDAQ: ODD) today announced its financial results for the first quarter ended March 31, 2026.</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continue to implement our recovery plan to address the account dislocation with our largest advertising partner and we remain hopeful that we are on track for normalization in the second half of this year,” said Oran Holtzman, ODDITY co-founder and CEO. “For many years, our CPA was very stable, with only gradual increases aligned with our industry. In Q1 2026, we saw a severe step-function discontinuity, comparing to historical first quarters, with CPA in some cases reaching levels 2x higher than what we expected. While we continue to navigate this dislocation, we have been working closely with our advertising partner on remediation and we are encouraged by an improvement in IL MAKIAGE CPA this May, which declined an estimated -28% sequentially from April.”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Media Costs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ODDITY is providing additional data on IL MAKIAGE CPA with our largest advertising partner for H1 2022 through May of H1 2026, as the first half is historically the period in which we acquire the majority of our annual new users. We believe this data supports the view that the CPA dislocation is technical in nature, rather than driven by brand health or market saturation.</w:t>
      </w:r>
    </w:p>
    <w:p>
      <w:pPr>
        <w:spacing w:after="0" w:line="17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Prior to 2026, IL MAKIAGE 1H CPA growth was very stable, with yearly increases correlated with our industry.</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increase in 2026 is sudden, indicating a dramatic break rather than steady deterioration over time.</w:t>
      </w:r>
    </w:p>
    <w:p>
      <w:pPr>
        <w:spacing w:after="0" w:line="8" w:lineRule="exact"/>
        <w:rPr>
          <w:rFonts w:ascii="Arial" w:cs="Arial" w:eastAsia="Arial" w:hAnsi="Arial"/>
          <w:sz w:val="18"/>
          <w:szCs w:val="18"/>
          <w:b w:val="1"/>
          <w:bCs w:val="1"/>
          <w:color w:val="auto"/>
        </w:rPr>
      </w:pPr>
    </w:p>
    <w:p>
      <w:pPr>
        <w:ind w:left="660" w:right="20" w:hanging="328"/>
        <w:spacing w:after="0" w:line="249"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breakdown occurred in different markets simultaneously. US, Canada, UK, Australia, Israel — markets with different longevity and saturation levels.</w:t>
      </w:r>
    </w:p>
    <w:p>
      <w:pPr>
        <w:spacing w:after="0" w:line="1" w:lineRule="exact"/>
        <w:rPr>
          <w:rFonts w:ascii="Arial" w:cs="Arial" w:eastAsia="Arial" w:hAnsi="Arial"/>
          <w:sz w:val="18"/>
          <w:szCs w:val="18"/>
          <w:b w:val="1"/>
          <w:bCs w:val="1"/>
          <w:color w:val="auto"/>
        </w:rPr>
      </w:pPr>
    </w:p>
    <w:p>
      <w:pPr>
        <w:ind w:left="660" w:right="340" w:hanging="328"/>
        <w:spacing w:after="0" w:line="259"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driver of the break is spiking bounce rates. This shows in our view that the issue is with lower quality audiences being served our ads by the algorithm.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IL MAKIAGE CPA Index with Largest Advertising Partner, Internal Attribution System</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5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Half-Year</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CPA INDEX</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YOY % CHG</w:t>
            </w:r>
          </w:p>
        </w:tc>
        <w:tc>
          <w:tcPr>
            <w:tcW w:w="3940" w:type="dxa"/>
            <w:vAlign w:val="bottom"/>
          </w:tcPr>
          <w:p>
            <w:pPr>
              <w:spacing w:after="0"/>
              <w:rPr>
                <w:sz w:val="22"/>
                <w:szCs w:val="22"/>
                <w:color w:val="auto"/>
              </w:rPr>
            </w:pPr>
          </w:p>
        </w:tc>
      </w:tr>
      <w:tr>
        <w:trPr>
          <w:trHeight w:val="235"/>
        </w:trPr>
        <w:tc>
          <w:tcPr>
            <w:tcW w:w="2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H122</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2380" w:type="dxa"/>
            <w:vAlign w:val="bottom"/>
            <w:tcBorders>
              <w:bottom w:val="single" w:sz="8" w:color="auto"/>
              <w:right w:val="single" w:sz="8" w:color="auto"/>
            </w:tcBorders>
          </w:tcPr>
          <w:p>
            <w:pPr>
              <w:spacing w:after="0"/>
              <w:rPr>
                <w:sz w:val="20"/>
                <w:szCs w:val="20"/>
                <w:color w:val="auto"/>
              </w:rPr>
            </w:pPr>
          </w:p>
        </w:tc>
        <w:tc>
          <w:tcPr>
            <w:tcW w:w="3940" w:type="dxa"/>
            <w:vAlign w:val="bottom"/>
          </w:tcPr>
          <w:p>
            <w:pPr>
              <w:spacing w:after="0"/>
              <w:rPr>
                <w:sz w:val="20"/>
                <w:szCs w:val="20"/>
                <w:color w:val="auto"/>
              </w:rPr>
            </w:pPr>
          </w:p>
        </w:tc>
      </w:tr>
      <w:tr>
        <w:trPr>
          <w:trHeight w:val="237"/>
        </w:trPr>
        <w:tc>
          <w:tcPr>
            <w:tcW w:w="2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H123</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3940" w:type="dxa"/>
            <w:vAlign w:val="bottom"/>
          </w:tcPr>
          <w:p>
            <w:pPr>
              <w:spacing w:after="0"/>
              <w:rPr>
                <w:sz w:val="20"/>
                <w:szCs w:val="20"/>
                <w:color w:val="auto"/>
              </w:rPr>
            </w:pPr>
          </w:p>
        </w:tc>
      </w:tr>
      <w:tr>
        <w:trPr>
          <w:trHeight w:val="236"/>
        </w:trPr>
        <w:tc>
          <w:tcPr>
            <w:tcW w:w="2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H124</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3940" w:type="dxa"/>
            <w:vAlign w:val="bottom"/>
          </w:tcPr>
          <w:p>
            <w:pPr>
              <w:spacing w:after="0"/>
              <w:rPr>
                <w:sz w:val="20"/>
                <w:szCs w:val="20"/>
                <w:color w:val="auto"/>
              </w:rPr>
            </w:pPr>
          </w:p>
        </w:tc>
      </w:tr>
      <w:tr>
        <w:trPr>
          <w:trHeight w:val="236"/>
        </w:trPr>
        <w:tc>
          <w:tcPr>
            <w:tcW w:w="2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H125</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3940" w:type="dxa"/>
            <w:vAlign w:val="bottom"/>
          </w:tcPr>
          <w:p>
            <w:pPr>
              <w:spacing w:after="0"/>
              <w:rPr>
                <w:sz w:val="20"/>
                <w:szCs w:val="20"/>
                <w:color w:val="auto"/>
              </w:rPr>
            </w:pPr>
          </w:p>
        </w:tc>
      </w:tr>
      <w:tr>
        <w:trPr>
          <w:trHeight w:val="237"/>
        </w:trPr>
        <w:tc>
          <w:tcPr>
            <w:tcW w:w="2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H1 through May 26</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83%</w:t>
            </w:r>
          </w:p>
        </w:tc>
        <w:tc>
          <w:tcPr>
            <w:tcW w:w="3940" w:type="dxa"/>
            <w:vAlign w:val="bottom"/>
          </w:tcPr>
          <w:p>
            <w:pPr>
              <w:spacing w:after="0"/>
              <w:rPr>
                <w:sz w:val="20"/>
                <w:szCs w:val="20"/>
                <w:color w:val="auto"/>
              </w:rPr>
            </w:pPr>
          </w:p>
        </w:tc>
      </w:tr>
      <w:tr>
        <w:trPr>
          <w:trHeight w:val="673"/>
        </w:trPr>
        <w:tc>
          <w:tcPr>
            <w:tcW w:w="25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ODDITY achieved key objectives during the first quarter, including:</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Exceeded our first quarter revenue outlook issued February 25, 2026 of an approximately 30% decline.</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Positive inflection in IL MAKIAGE CPA’s trend in May, reflecting progress resetting our ad account signals.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Remediation work in IL MAKIAGE Try Before You Buy, and a shift of 40% of acquisition revenue out of Try Before You Buy and into Buy.</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strong start for our newest brand, METHODIQ, which remains on track to deliver year 1 results in-line with those of SpoiledChild.</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Ongoing development and expansion of the ODDITY Labs molecule discovery platform.</w:t>
      </w:r>
    </w:p>
    <w:p>
      <w:pPr>
        <w:spacing w:after="0" w:line="8" w:lineRule="exact"/>
        <w:rPr>
          <w:rFonts w:ascii="Arial" w:cs="Arial" w:eastAsia="Arial" w:hAnsi="Arial"/>
          <w:sz w:val="18"/>
          <w:szCs w:val="18"/>
          <w:b w:val="1"/>
          <w:bCs w:val="1"/>
          <w:color w:val="auto"/>
        </w:rPr>
      </w:pPr>
    </w:p>
    <w:p>
      <w:pPr>
        <w:ind w:left="660" w:right="80" w:hanging="328"/>
        <w:spacing w:after="0" w:line="259"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Strong liquidity position including cash, cash equivalents and investments of $667.4 million, and aggregate credit facilities of $350 million which remain undrawn.</w:t>
      </w:r>
    </w:p>
    <w:p>
      <w:pPr>
        <w:spacing w:after="0" w:line="1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pleased with the progress we see in our remediation work and with our ability to deliver first quarter revenue above our guidance,” said Lindsay Drucker Mann, ODDITY Global CFO. “The CPA dislocation led to a sharp decline in first orders during the quarter, and the loss of these first orders will negatively impact our repeat business across the year. We therefore expect Q2 net revenue will decline between 25 and 30% year-over-year, and hope to see sequential improvement in the second half of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Profitability Drivers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Adjusted EBITDA was materially negatively impacted by higher CPA and ODDITY’s decision to spend on acquisition during the quarter, in an effort to remedy the account dislocation. This led to significantly lower revenue generated on like for like media spend. Reduced media efficiency coupled with continued investment in growth initiatives drove meaningful operating expense deleverage.</w:t>
      </w:r>
    </w:p>
    <w:p>
      <w:pPr>
        <w:spacing w:after="0" w:line="176"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Gross margin compression in the period was driven in part by product and brand mix and a low single digit decline in average order value (AOV). ODDITY’s remediation activity during the quarter, which included running various tests to try and isolate the dislocation in its advertising account, negatively impacted Q1 margins.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Buyback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2026, ODDITY’s Board of Directors approved a share buyback program authorizing the repurchase of up to $200 million of the Company’s Class A ordinary shares. The new authorization expires on March 31, 2029 or upon full deployment of the allocated funds, subject to any future modifications by the Board.</w:t>
      </w:r>
    </w:p>
    <w:p>
      <w:pPr>
        <w:spacing w:after="0" w:line="176"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ODDITY repurchased approximately 6.1 million Class A ordinary shares during the first quarter for approximately $82.3 million, reducing Class A ordinary shares outstanding by approximately 10.6%. ODDITY exited the first quarter with approximately $167.3 million remaining under the authorization, subject to market conditions, legal and regulatory constraints.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Fiscal 2026 Financial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first quarter ended March 31, 2026 are presented below in comparison to the first quarter ended March 31, 2025.</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revenue was $197.9 million compared to $268.1 million in the first quarter of 2025, a decrease of 26%.</w:t>
      </w:r>
    </w:p>
    <w:p>
      <w:pPr>
        <w:spacing w:after="0" w:line="26" w:lineRule="exact"/>
        <w:rPr>
          <w:rFonts w:ascii="Arial" w:cs="Arial" w:eastAsia="Arial" w:hAnsi="Arial"/>
          <w:sz w:val="18"/>
          <w:szCs w:val="18"/>
          <w:b w:val="1"/>
          <w:bCs w:val="1"/>
          <w:color w:val="auto"/>
        </w:rPr>
      </w:pPr>
    </w:p>
    <w:p>
      <w:pPr>
        <w:ind w:left="660" w:right="220" w:hanging="328"/>
        <w:spacing w:after="0" w:line="249"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Gross profit was $138.0 million compared to $200.8 million in the first quarter of 2025; gross margin was 69.7% compared to 74.9% in the first quarter of 2025.</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loss was $(21.4) million compared to net income of $37.8 million in the first quarter of 2025.</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net loss was $(9.8) million compared to adjusted net income of $41.8 million in the first quarter of 2025.</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EBITDA was $(7.0) million compared to $52.4 million in the first quarter of 2025.</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Diluted loss per share was $(0.38) for the first quarter of 2026 compared to diluted earnings per share of $0.63 in the first quarter of 2025.</w:t>
      </w:r>
    </w:p>
    <w:p>
      <w:pPr>
        <w:spacing w:after="0" w:line="8" w:lineRule="exact"/>
        <w:rPr>
          <w:rFonts w:ascii="Arial" w:cs="Arial" w:eastAsia="Arial" w:hAnsi="Arial"/>
          <w:sz w:val="18"/>
          <w:szCs w:val="18"/>
          <w:b w:val="1"/>
          <w:bCs w:val="1"/>
          <w:color w:val="auto"/>
        </w:rPr>
      </w:pPr>
    </w:p>
    <w:p>
      <w:pPr>
        <w:ind w:left="660" w:right="560" w:hanging="328"/>
        <w:spacing w:after="0" w:line="259"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diluted loss per share was $(0.17) for the first quarter of 2026 compared to adjusted diluted earnings per share of $0.69 in the first quarter of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Outlook:</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second quarter of 2026, ODDITY expects net revenue to decline between 25 and 30% year-over-year. ODDITY expects Adjusted EBITDA will be between $8 and $10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 year 2026, ODDITY expects Adjusted EBITDA to be positive.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right="160"/>
        <w:spacing w:after="0" w:line="255" w:lineRule="auto"/>
        <w:rPr>
          <w:sz w:val="20"/>
          <w:szCs w:val="20"/>
          <w:color w:val="auto"/>
        </w:rPr>
      </w:pPr>
      <w:r>
        <w:rPr>
          <w:rFonts w:ascii="Times New Roman" w:cs="Times New Roman" w:eastAsia="Times New Roman" w:hAnsi="Times New Roman"/>
          <w:sz w:val="18"/>
          <w:szCs w:val="18"/>
          <w:color w:val="auto"/>
        </w:rPr>
        <w:t>Adjusted EBITDA, Adjusted EBITDA margin, Adjusted net (loss) income, Adjusted net (loss) income margin, Adjusted diluted (loss) earnings per share, and free cash flow are non-GAAP financial measures. Please see the sections titled “Non-GAAP Financial Measures” and “Reconciliations of GAAP to Non-GAAP Measures” below for more information regarding ODDITY’s use of non-GAAP financial measures and reconciliations to the most directly comparable GAAP measures. ODDITY has not provided a quantitative reconciliation of its Adjusted EBITDA outlook to the corresponding net income measure because the quantification of certain items included in the calculation of GAAP net income cannot be calculated or predicted at this time without unreasonable efforts. ODDITY is unable to address the probable significance of the unavailable reconciling items, which could have a potentially unpredictable, and potentially significant, impact on its future GAAP financial results.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financial outlook figures presented above are forward-looking statements that are subject to a variety of assumptions and estimates. Actual results may differ materially from ODDITY’s financial outlook as a result of, among other things, the factors described under “Forward-Looking Statements”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conference call to discuss ODDITY’s Q1 2026 financial and business results and outlook is scheduled for today, June 2, 2026, at 8:30 a.m. ET. To participate, please dial 1-877-407-9208 (US) or 1-201-493-6784 (international). To access the call, please reference the company name and call title: ODDITY First Quarter 2026 Earnings Call. A webcast of the call will be accessible on the Investors section of ODDITY’s website at https://investors.oddity.com. A recording will be available shortly after the conclusion of the call. To access the replay, please dial 1-844-512-2921 (US) or 1-412-317-6671 (international). The access code for the replay is 13760709. An archive of the webcast will be available on the Investors section of ODDITY’s website for seven days following the call.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to the GAAP financial measures set forth in this press release, ODDITY has included the following non-GAAP financial measures: Adjusted EBITDA, Adjusted EBITDA margin, Adjusted net (loss) income, Adjusted net (loss) income margin, Adjusted diluted (loss) earnings per share and free cash flow. ODDITY believes these non-GAAP financial measures provide useful supplemental information to management and investors to help evaluate ODDITY’s business, measure its performance, identify trends, prepare financial projections and make business decisions.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ODDITY defines “Adjusted EBITDA” as net (loss) income before financial income, net, taxes on income, and depreciation and amortization as further adjusted to exclude share-based compensation expense and non-recurring items. “Adjusted EBITDA margin” is defined as Adjusted EBITDA divided by net revenue. ODDITY believes Adjusted EBITDA and Adjusted EBITDA margin are useful for financial and operational decision-making and as a means to evaluate period-to-period comparisons. By excluding certain items that may not be indicative of its recurring core operating results, ODDITY believes that Adjusted EBITDA and Adjusted EBITDA margin provide meaningful supplemental information regarding its performance. In addition, Adjusted EBITDA and Adjusted EBITDA margin are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ODDITY defines “Adjusted net (loss) income” as net (loss) income adjusted for the impact of share-based compensation, non-recurring items, one-time tax gains/losses and the tax effect of non-GAAP adjustments and “Adjusted net (loss) income margin” as Adjusted net (loss) income divided by net revenue. In addition, ODDITY defines “Adjusted diluted (loss) earnings per share” as Adjusted net (loss) income divided by diluted shares outstanding. ODDITY believes the presentations of Adjusted net (loss) income, Adjusted net (loss) income margin, and Adjusted diluted (loss) earnings per share are useful because they are frequently used by analysts, investors and other interested parties to evaluate companies in our industry. Further, ODDITY believes these measures are helpful in highlighting trends in our operating results, because they exclude the impact of items that are outside the control of management or not reflective of our ongoing operations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ODDITY defines “free cash flow” as net cash (used in) provided by operating activities less purchase of property and equipment.</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ODDITY’s non-GAAP financial measures should be considered in addition to, not as a substitute for or in isolation from, its financial results prepared in accordance with U.S. GAAP. Other companies, including companies in our industry, may calculate these measures differently or not at all, which reduces their usefulness as comparative measures.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GAAP measures are included with the financial tables at the end of this release under the heading “Reconciliations of GAAP to Non-GAAP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and information, within the meaning of Section 27A of the Securities Act of 1933, Section 21E of the Securities Exchange Act of 1934, and the safe harbor provisions of the U.S. Private Securities Litigation Reform Act of 1995 that relate to our current expectations and views of future events. In some cases, these forward-looking statements can be identified by words or phrases such as “aim,” “anticipate,” “believe,” “contemplate,” “continue,” “could,” “estimate,” “expect,” “goal,” “hope,” “intend,” “may,” “objective,” “plan,” “potential,” “predict,” “project,” “shall,” “should,” “target,” “will,” “seek,” or similar words. The absence of these words does not mean that a statement is not forward-looking. These forward-looking statements address various matters, including ODDITY’s business strategy, market opportunity, ability to deliver superior products and experiences, ability to remedy the dislocation in our customer acquisition costs, potential long-term success and ODDITY’s outlook for the second quarter of 2026 and the full year ending December 31, 2026.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our ability to maintain the value of our brands; our ability to anticipate and respond to market trends and changes in consumer preferences; our ability to cost-effectively attract new customers (including by responding effectively to changes to algorithm-based bidding systems on key advertising platforms), retain existing customers and maintain or increase sales to those customers; our ability to maintain a strong base of engaged customers and content creators; the loss of suppliers or shortages or disruptions in the supply of raw materials or finished products; our ability to accurately forecast customer demand, manage our inventory, and plan for future expenses; our future rate of growth; competition; the fluctuating cost of raw materials; the illegal distribution and sale by third parties of counterfeit versions of our products or the unauthorized diversion by third parties of our products; changes in, or disruptions to, our shipping arrangements; our ability to manage our growth effectively; a general economic downturn or sudden disruption in business conditions; our ability to successfully introduce and effectively market new brands, or develop and introduce new, innovative, and updated products; foreign currency fluctuations; product returns; our ability to execute on our business strategy; our ability to maintain a high level of customer satisfaction; our ability to comply with and adapt to changes in laws and regulatory requirements applicable to our business, including with respect to regulation of the internet and e-commerce, evolving AI-technology related laws, tax laws, the anti-corruption, trade compliance, anti-money laundering, and terror finance and economic sanctions laws and regulations, consumer protection laws, and data privacy and security laws; failure of our products to comply with quality standards and risks related to product liability claims; trade restrictions; existing and potential tariffs; any data breach or other security incident of our information technology systems, or those of our third-party service providers or cyberattacks; risks related to online transactions and payment methods; any failure to obtain, maintain, protect, defend, or enforce our intellectual property rights; conditions in Israel and the Middle East generally, including as a result of geopolitical conflict; the concentration of our voting power as a result of our dual class structure; our status as a foreign private issuer; and other risk factors set forth in the section titled “Risk Factors” in our Annual Report on Form 20-F filed with the Securities and Exchange Commission on March 17, 2026, and other documents filed with or furnished to the SEC. These statements reflect management’s current expectations regarding future events and operating performance and speak only as of the date of this press release. You should not put undue reliance on any forward-looking statements. Except as required by applicable law, we undertake no obligation to update or revise publicly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ODDITY: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ODDITY is a consumer tech company that builds and scales digital-first brands to disrupt the offline-dominated beauty and wellness industries. The company serves approximately 68 million users with its AI-driven online platform, deploying data science to identify consumer needs, and developing solutions in the form of beauty and wellness products. ODDITY owns IL MAKIAGE, SpoiledChild and METHODIQ. The company operates with business headquarters in New York City, an R&amp;D center in Tel Aviv, Israel, and a biotechnology lab in Boston.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press@oddity.com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investors@oddity.com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900" w:right="7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ODDITY TECH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6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color w:val="auto"/>
                <w:w w:val="98"/>
              </w:rPr>
              <w:t>(Unaudited)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197,940</w:t>
            </w:r>
          </w:p>
        </w:tc>
        <w:tc>
          <w:tcPr>
            <w:tcW w:w="4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268,076</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59,970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67,228</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163,460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158,183</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(5,306)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taxes on income</w:t>
            </w:r>
          </w:p>
        </w:tc>
        <w:tc>
          <w:tcPr>
            <w:tcW w:w="2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7,481</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 basic (thousands)</w:t>
            </w:r>
          </w:p>
        </w:tc>
        <w:tc>
          <w:tcPr>
            <w:tcW w:w="2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56,317</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56,003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 diluted (thousands)</w:t>
            </w:r>
          </w:p>
        </w:tc>
        <w:tc>
          <w:tcPr>
            <w:tcW w:w="2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56,317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60,322</w:t>
            </w:r>
          </w:p>
        </w:tc>
        <w:tc>
          <w:tcPr>
            <w:tcW w:w="0" w:type="dxa"/>
            <w:vAlign w:val="bottom"/>
          </w:tcPr>
          <w:p>
            <w:pPr>
              <w:spacing w:after="0"/>
              <w:rPr>
                <w:sz w:val="1"/>
                <w:szCs w:val="1"/>
                <w:color w:val="auto"/>
              </w:rPr>
            </w:pPr>
          </w:p>
        </w:tc>
      </w:tr>
      <w:tr>
        <w:trPr>
          <w:trHeight w:val="263"/>
        </w:trPr>
        <w:tc>
          <w:tcPr>
            <w:tcW w:w="6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2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320" w:type="dxa"/>
            <w:vAlign w:val="bottom"/>
            <w:tcBorders>
              <w:bottom w:val="single" w:sz="8" w:color="CCEEFF"/>
            </w:tcBorders>
            <w:shd w:val="clear" w:color="auto" w:fill="CCEEFF"/>
          </w:tcPr>
          <w:p>
            <w:pPr>
              <w:ind w:left="60"/>
              <w:spacing w:after="0" w:line="195" w:lineRule="exact"/>
              <w:rPr>
                <w:sz w:val="20"/>
                <w:szCs w:val="20"/>
                <w:color w:val="auto"/>
              </w:rPr>
            </w:pPr>
            <w:r>
              <w:rPr>
                <w:rFonts w:ascii="Times New Roman" w:cs="Times New Roman" w:eastAsia="Times New Roman" w:hAnsi="Times New Roman"/>
                <w:sz w:val="18"/>
                <w:szCs w:val="18"/>
                <w:color w:val="auto"/>
              </w:rPr>
              <w:t>Diluted (loss) earnings per share</w:t>
            </w:r>
          </w:p>
        </w:tc>
        <w:tc>
          <w:tcPr>
            <w:tcW w:w="2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ODDITY TECH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 in thousands</w:t>
            </w:r>
          </w:p>
        </w:tc>
        <w:tc>
          <w:tcPr>
            <w:tcW w:w="26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2"/>
        </w:trPr>
        <w:tc>
          <w:tcPr>
            <w:tcW w:w="58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278,597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16,902</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147,976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36,336</w:t>
            </w: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500,088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371,626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362,571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10,864</w:t>
            </w: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 net</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27,693</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43,582</w:t>
            </w: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64,904</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2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549,739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1,049,827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1,137,792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ODDITY TECH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(Audited)</w:t>
            </w:r>
          </w:p>
        </w:tc>
        <w:tc>
          <w:tcPr>
            <w:tcW w:w="100" w:type="dxa"/>
            <w:vAlign w:val="bottom"/>
            <w:gridSpan w:val="2"/>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65,252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75,957</w:t>
            </w:r>
          </w:p>
        </w:tc>
      </w:tr>
      <w:tr>
        <w:trPr>
          <w:trHeight w:val="216"/>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accounts payable and accrued expenses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32,869</w:t>
            </w: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6,002</w:t>
            </w:r>
          </w:p>
        </w:tc>
        <w:tc>
          <w:tcPr>
            <w:tcW w:w="80" w:type="dxa"/>
            <w:vAlign w:val="bottom"/>
          </w:tcPr>
          <w:p>
            <w:pPr>
              <w:spacing w:after="0"/>
              <w:rPr>
                <w:sz w:val="19"/>
                <w:szCs w:val="19"/>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6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17,463</w:t>
            </w:r>
          </w:p>
        </w:tc>
      </w:tr>
      <w:tr>
        <w:trPr>
          <w:trHeight w:val="216"/>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Exchangeable Note</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585,222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584,368</w:t>
            </w:r>
          </w:p>
        </w:tc>
        <w:tc>
          <w:tcPr>
            <w:tcW w:w="80" w:type="dxa"/>
            <w:vAlign w:val="bottom"/>
            <w:shd w:val="clear" w:color="auto" w:fill="CCEEFF"/>
          </w:tcPr>
          <w:p>
            <w:pPr>
              <w:spacing w:after="0"/>
              <w:rPr>
                <w:sz w:val="18"/>
                <w:szCs w:val="18"/>
                <w:color w:val="auto"/>
              </w:rPr>
            </w:pP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24,638</w:t>
            </w:r>
          </w:p>
        </w:tc>
      </w:tr>
      <w:tr>
        <w:trPr>
          <w:trHeight w:val="209"/>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750,917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Ordinary shares</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Ordinary shares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77,571</w:t>
            </w:r>
          </w:p>
        </w:tc>
      </w:tr>
      <w:tr>
        <w:trPr>
          <w:trHeight w:val="216"/>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4,892</w:t>
            </w:r>
          </w:p>
        </w:tc>
        <w:tc>
          <w:tcPr>
            <w:tcW w:w="80" w:type="dxa"/>
            <w:vAlign w:val="bottom"/>
            <w:shd w:val="clear" w:color="auto" w:fill="CCEEFF"/>
          </w:tcPr>
          <w:p>
            <w:pPr>
              <w:spacing w:after="0"/>
              <w:rPr>
                <w:sz w:val="18"/>
                <w:szCs w:val="18"/>
                <w:color w:val="auto"/>
              </w:rPr>
            </w:pP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292,653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314,014</w:t>
            </w:r>
          </w:p>
        </w:tc>
        <w:tc>
          <w:tcPr>
            <w:tcW w:w="80" w:type="dxa"/>
            <w:vAlign w:val="bottom"/>
          </w:tcPr>
          <w:p>
            <w:pPr>
              <w:spacing w:after="0"/>
              <w:rPr>
                <w:sz w:val="19"/>
                <w:szCs w:val="19"/>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298,910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1,049,827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1,137,792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ODDITY TECH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26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26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6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Cash flows from operating activities:</w:t>
            </w:r>
          </w:p>
        </w:tc>
        <w:tc>
          <w:tcPr>
            <w:tcW w:w="50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(21,361)</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37,831</w:t>
            </w:r>
          </w:p>
        </w:tc>
      </w:tr>
      <w:tr>
        <w:trPr>
          <w:trHeight w:val="21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4,269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2,655</w:t>
            </w:r>
          </w:p>
        </w:tc>
      </w:tr>
      <w:tr>
        <w:trPr>
          <w:trHeight w:val="216"/>
        </w:trPr>
        <w:tc>
          <w:tcPr>
            <w:tcW w:w="7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8,101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7,084</w:t>
            </w:r>
          </w:p>
        </w:tc>
      </w:tr>
      <w:tr>
        <w:trPr>
          <w:trHeight w:val="216"/>
        </w:trPr>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7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trade receivables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(6,411)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(4,289)</w:t>
            </w:r>
          </w:p>
        </w:tc>
      </w:tr>
      <w:tr>
        <w:trPr>
          <w:trHeight w:val="216"/>
        </w:trPr>
        <w:tc>
          <w:tcPr>
            <w:tcW w:w="7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prepaid expenses and other receivables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(4,631)</w:t>
            </w:r>
          </w:p>
        </w:tc>
      </w:tr>
      <w:tr>
        <w:trPr>
          <w:trHeight w:val="216"/>
        </w:trPr>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inventories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(12,795)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3,554</w:t>
            </w:r>
          </w:p>
        </w:tc>
      </w:tr>
      <w:tr>
        <w:trPr>
          <w:trHeight w:val="216"/>
        </w:trPr>
        <w:tc>
          <w:tcPr>
            <w:tcW w:w="7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trade payables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(10,704)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41,642</w:t>
            </w:r>
          </w:p>
        </w:tc>
      </w:tr>
      <w:tr>
        <w:trPr>
          <w:trHeight w:val="216"/>
        </w:trPr>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other accounts payable and accrued expenses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17,330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4,903</w:t>
            </w:r>
          </w:p>
        </w:tc>
      </w:tr>
      <w:tr>
        <w:trPr>
          <w:trHeight w:val="216"/>
        </w:trPr>
        <w:tc>
          <w:tcPr>
            <w:tcW w:w="7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operating lease right-of-use assets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1,943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1,969</w:t>
            </w:r>
          </w:p>
        </w:tc>
      </w:tr>
      <w:tr>
        <w:trPr>
          <w:trHeight w:val="216"/>
        </w:trPr>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operating lease liability</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(2,049)</w:t>
            </w:r>
          </w:p>
        </w:tc>
      </w:tr>
      <w:tr>
        <w:trPr>
          <w:trHeight w:val="229"/>
        </w:trPr>
        <w:tc>
          <w:tcPr>
            <w:tcW w:w="7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63"/>
        </w:trPr>
        <w:tc>
          <w:tcPr>
            <w:tcW w:w="7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7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88,336</w:t>
            </w:r>
          </w:p>
        </w:tc>
        <w:tc>
          <w:tcPr>
            <w:tcW w:w="100" w:type="dxa"/>
            <w:vAlign w:val="bottom"/>
            <w:tcBorders>
              <w:bottom w:val="single" w:sz="8" w:color="CCEEFF"/>
            </w:tcBorders>
          </w:tcPr>
          <w:p>
            <w:pPr>
              <w:spacing w:after="0"/>
              <w:rPr>
                <w:sz w:val="22"/>
                <w:szCs w:val="22"/>
                <w:color w:val="auto"/>
              </w:rPr>
            </w:pPr>
          </w:p>
        </w:tc>
      </w:tr>
      <w:tr>
        <w:trPr>
          <w:trHeight w:val="197"/>
        </w:trPr>
        <w:tc>
          <w:tcPr>
            <w:tcW w:w="2680" w:type="dxa"/>
            <w:vAlign w:val="bottom"/>
            <w:shd w:val="clear" w:color="auto" w:fill="CCEEFF"/>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Capitalization of software development costs and investment in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Investment in marketable securities,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investing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exercise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Repurchase and retirement of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exchange rate fluctuations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ind w:right="2520"/>
        <w:spacing w:after="0" w:line="282" w:lineRule="auto"/>
        <w:rPr>
          <w:sz w:val="20"/>
          <w:szCs w:val="20"/>
          <w:color w:val="auto"/>
        </w:rPr>
      </w:pPr>
      <w:r>
        <w:rPr>
          <w:rFonts w:ascii="Times New Roman" w:cs="Times New Roman" w:eastAsia="Times New Roman" w:hAnsi="Times New Roman"/>
          <w:sz w:val="18"/>
          <w:szCs w:val="18"/>
          <w:color w:val="auto"/>
        </w:rPr>
        <w:t>Net (decrease) increase in cash, cash equivalents and restricted cash Cash, cash equivalents and restricted cash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220" w:hanging="1302"/>
        <w:spacing w:after="0"/>
        <w:tabs>
          <w:tab w:leader="none" w:pos="2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(1,002)</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(4,197)(1,739)</w:t>
      </w:r>
    </w:p>
    <w:p>
      <w:pPr>
        <w:spacing w:after="0" w:line="9" w:lineRule="exact"/>
        <w:rPr>
          <w:sz w:val="20"/>
          <w:szCs w:val="20"/>
          <w:color w:val="auto"/>
        </w:rPr>
      </w:pPr>
    </w:p>
    <w:p>
      <w:pPr>
        <w:jc w:val="both"/>
        <w:ind w:left="700"/>
        <w:spacing w:after="0"/>
        <w:tabs>
          <w:tab w:leader="none" w:pos="2200" w:val="left"/>
        </w:tabs>
        <w:rPr>
          <w:sz w:val="20"/>
          <w:szCs w:val="20"/>
          <w:color w:val="auto"/>
        </w:rPr>
      </w:pPr>
      <w:r>
        <w:rPr>
          <w:rFonts w:ascii="Times New Roman" w:cs="Times New Roman" w:eastAsia="Times New Roman" w:hAnsi="Times New Roman"/>
          <w:sz w:val="18"/>
          <w:szCs w:val="18"/>
          <w:color w:val="auto"/>
        </w:rPr>
        <w:t>(18,435)</w:t>
      </w:r>
      <w:r>
        <w:rPr>
          <w:sz w:val="20"/>
          <w:szCs w:val="20"/>
          <w:color w:val="auto"/>
        </w:rPr>
        <w:tab/>
      </w:r>
      <w:r>
        <w:rPr>
          <w:rFonts w:ascii="Times New Roman" w:cs="Times New Roman" w:eastAsia="Times New Roman" w:hAnsi="Times New Roman"/>
          <w:sz w:val="18"/>
          <w:szCs w:val="18"/>
          <w:color w:val="auto"/>
        </w:rPr>
        <w:t>(1,069)</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—(151)</w:t>
      </w:r>
    </w:p>
    <w:p>
      <w:pPr>
        <w:spacing w:after="0" w:line="23" w:lineRule="exact"/>
        <w:rPr>
          <w:sz w:val="20"/>
          <w:szCs w:val="20"/>
          <w:color w:val="auto"/>
        </w:rPr>
      </w:pPr>
    </w:p>
    <w:p>
      <w:pPr>
        <w:jc w:val="right"/>
        <w:ind w:right="40"/>
        <w:spacing w:after="0"/>
        <w:tabs>
          <w:tab w:leader="none" w:pos="520" w:val="left"/>
        </w:tabs>
        <w:rPr>
          <w:sz w:val="20"/>
          <w:szCs w:val="20"/>
          <w:color w:val="auto"/>
        </w:rPr>
      </w:pPr>
      <w:r>
        <w:rPr>
          <w:rFonts w:ascii="Times New Roman" w:cs="Times New Roman" w:eastAsia="Times New Roman" w:hAnsi="Times New Roman"/>
          <w:sz w:val="18"/>
          <w:szCs w:val="18"/>
          <w:color w:val="auto"/>
        </w:rPr>
        <w:t>(23,490)</w:t>
      </w:r>
      <w:r>
        <w:rPr>
          <w:sz w:val="20"/>
          <w:szCs w:val="20"/>
          <w:color w:val="auto"/>
        </w:rPr>
        <w:tab/>
      </w:r>
      <w:r>
        <w:rPr>
          <w:rFonts w:ascii="Times New Roman" w:cs="Times New Roman" w:eastAsia="Times New Roman" w:hAnsi="Times New Roman"/>
          <w:sz w:val="18"/>
          <w:szCs w:val="18"/>
          <w:color w:val="auto"/>
        </w:rPr>
        <w:t>(3,961)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17056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280" w:hanging="1212"/>
        <w:spacing w:after="0"/>
        <w:tabs>
          <w:tab w:leader="none" w:pos="2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1,931</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705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 w:lineRule="exact"/>
        <w:rPr>
          <w:sz w:val="20"/>
          <w:szCs w:val="20"/>
          <w:color w:val="auto"/>
        </w:rPr>
      </w:pPr>
    </w:p>
    <w:p>
      <w:pPr>
        <w:ind w:left="700"/>
        <w:spacing w:after="0"/>
        <w:tabs>
          <w:tab w:leader="none" w:pos="2260" w:val="left"/>
        </w:tabs>
        <w:rPr>
          <w:sz w:val="20"/>
          <w:szCs w:val="20"/>
          <w:color w:val="auto"/>
        </w:rPr>
      </w:pPr>
      <w:r>
        <w:rPr>
          <w:rFonts w:ascii="Times New Roman" w:cs="Times New Roman" w:eastAsia="Times New Roman" w:hAnsi="Times New Roman"/>
          <w:sz w:val="18"/>
          <w:szCs w:val="18"/>
          <w:color w:val="auto"/>
        </w:rPr>
        <w:t>(80,042)</w:t>
      </w:r>
      <w:r>
        <w:rPr>
          <w:sz w:val="20"/>
          <w:szCs w:val="20"/>
          <w:color w:val="auto"/>
        </w:rPr>
        <w:tab/>
      </w:r>
      <w:r>
        <w:rPr>
          <w:rFonts w:ascii="Times New Roman" w:cs="Times New Roman" w:eastAsia="Times New Roman" w:hAnsi="Times New Roman"/>
          <w:sz w:val="18"/>
          <w:szCs w:val="18"/>
          <w:color w:val="auto"/>
        </w:rPr>
        <w:t>1,931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1705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68"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284</w:t>
      </w:r>
    </w:p>
    <w:p>
      <w:pPr>
        <w:spacing w:after="0" w:line="239" w:lineRule="exact"/>
        <w:rPr>
          <w:sz w:val="20"/>
          <w:szCs w:val="20"/>
          <w:color w:val="auto"/>
        </w:rPr>
      </w:pPr>
    </w:p>
    <w:p>
      <w:pPr>
        <w:ind w:left="600"/>
        <w:spacing w:after="0"/>
        <w:tabs>
          <w:tab w:leader="none" w:pos="2180" w:val="left"/>
        </w:tabs>
        <w:rPr>
          <w:sz w:val="20"/>
          <w:szCs w:val="20"/>
          <w:color w:val="auto"/>
        </w:rPr>
      </w:pPr>
      <w:r>
        <w:rPr>
          <w:rFonts w:ascii="Times New Roman" w:cs="Times New Roman" w:eastAsia="Times New Roman" w:hAnsi="Times New Roman"/>
          <w:sz w:val="18"/>
          <w:szCs w:val="18"/>
          <w:color w:val="auto"/>
        </w:rPr>
        <w:t>(123,660)</w:t>
      </w:r>
      <w:r>
        <w:rPr>
          <w:sz w:val="20"/>
          <w:szCs w:val="20"/>
          <w:color w:val="auto"/>
        </w:rPr>
        <w:tab/>
      </w:r>
      <w:r>
        <w:rPr>
          <w:rFonts w:ascii="Times New Roman" w:cs="Times New Roman" w:eastAsia="Times New Roman" w:hAnsi="Times New Roman"/>
          <w:sz w:val="18"/>
          <w:szCs w:val="18"/>
          <w:color w:val="auto"/>
        </w:rPr>
        <w:t>86,590</w:t>
      </w:r>
    </w:p>
    <w:p>
      <w:pPr>
        <w:spacing w:after="0" w:line="27" w:lineRule="exact"/>
        <w:rPr>
          <w:sz w:val="20"/>
          <w:szCs w:val="20"/>
          <w:color w:val="auto"/>
        </w:rPr>
      </w:pPr>
    </w:p>
    <w:p>
      <w:pPr>
        <w:ind w:left="660"/>
        <w:spacing w:after="0"/>
        <w:tabs>
          <w:tab w:leader="none" w:pos="2180" w:val="left"/>
        </w:tabs>
        <w:rPr>
          <w:sz w:val="20"/>
          <w:szCs w:val="20"/>
          <w:color w:val="auto"/>
        </w:rPr>
      </w:pPr>
      <w:r>
        <w:rPr>
          <w:rFonts w:ascii="Times New Roman" w:cs="Times New Roman" w:eastAsia="Times New Roman" w:hAnsi="Times New Roman"/>
          <w:sz w:val="18"/>
          <w:szCs w:val="18"/>
          <w:color w:val="auto"/>
        </w:rPr>
        <w:t>402,279</w:t>
      </w:r>
      <w:r>
        <w:rPr>
          <w:sz w:val="20"/>
          <w:szCs w:val="20"/>
          <w:color w:val="auto"/>
        </w:rPr>
        <w:tab/>
      </w:r>
      <w:r>
        <w:rPr>
          <w:rFonts w:ascii="Times New Roman" w:cs="Times New Roman" w:eastAsia="Times New Roman" w:hAnsi="Times New Roman"/>
          <w:sz w:val="18"/>
          <w:szCs w:val="18"/>
          <w:color w:val="auto"/>
        </w:rPr>
        <w:t>50,347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7056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41" w:lineRule="exact"/>
        <w:rPr>
          <w:sz w:val="20"/>
          <w:szCs w:val="20"/>
          <w:color w:val="auto"/>
        </w:rPr>
      </w:pPr>
    </w:p>
    <w:p>
      <w:pPr>
        <w:spacing w:after="0"/>
        <w:tabs>
          <w:tab w:leader="none" w:pos="640" w:val="left"/>
          <w:tab w:leader="none" w:pos="1440" w:val="left"/>
          <w:tab w:leader="none" w:pos="20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278,619</w:t>
        <w:tab/>
        <w:t>$</w:t>
      </w:r>
      <w:r>
        <w:rPr>
          <w:sz w:val="20"/>
          <w:szCs w:val="20"/>
          <w:color w:val="auto"/>
        </w:rPr>
        <w:tab/>
      </w:r>
      <w:r>
        <w:rPr>
          <w:rFonts w:ascii="Times New Roman" w:cs="Times New Roman" w:eastAsia="Times New Roman" w:hAnsi="Times New Roman"/>
          <w:sz w:val="18"/>
          <w:szCs w:val="18"/>
          <w:color w:val="auto"/>
        </w:rPr>
        <w:t>136,937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17056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ectPr>
          <w:pgSz w:w="11900" w:h="16838" w:orient="portrait"/>
          <w:cols w:equalWidth="0" w:num="2">
            <w:col w:w="7720" w:space="720"/>
            <w:col w:w="2800"/>
          </w:cols>
          <w:pgMar w:left="320" w:top="90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ODDITY TECH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6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6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color w:val="auto"/>
                <w:w w:val="98"/>
              </w:rPr>
              <w:t>(Unaudited)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 Income and Adjusted EBITDA</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(21,361)</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37,831</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income, net</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(5,306)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(2,647)</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on income</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7,481</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4,269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2,655</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7,084</w:t>
            </w:r>
          </w:p>
        </w:tc>
      </w:tr>
      <w:tr>
        <w:trPr>
          <w:trHeight w:val="270"/>
        </w:trPr>
        <w:tc>
          <w:tcPr>
            <w:tcW w:w="686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Other adjustments</w:t>
            </w:r>
            <w:r>
              <w:rPr>
                <w:rFonts w:ascii="Times New Roman" w:cs="Times New Roman" w:eastAsia="Times New Roman" w:hAnsi="Times New Roman"/>
                <w:sz w:val="29"/>
                <w:szCs w:val="29"/>
                <w:color w:val="auto"/>
                <w:vertAlign w:val="superscript"/>
              </w:rPr>
              <w:t>1</w:t>
            </w:r>
          </w:p>
        </w:tc>
        <w:tc>
          <w:tcPr>
            <w:tcW w:w="15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6,084</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5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(7,036</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52,404</w:t>
            </w:r>
          </w:p>
        </w:tc>
        <w:tc>
          <w:tcPr>
            <w:tcW w:w="100" w:type="dxa"/>
            <w:vAlign w:val="bottom"/>
            <w:tcBorders>
              <w:bottom w:val="single" w:sz="8" w:color="CCEEFF"/>
            </w:tcBorders>
          </w:tcPr>
          <w:p>
            <w:pPr>
              <w:spacing w:after="0"/>
              <w:rPr>
                <w:sz w:val="22"/>
                <w:szCs w:val="22"/>
                <w:color w:val="auto"/>
              </w:rPr>
            </w:pPr>
          </w:p>
        </w:tc>
      </w:tr>
      <w:tr>
        <w:trPr>
          <w:trHeight w:val="197"/>
        </w:trPr>
        <w:tc>
          <w:tcPr>
            <w:tcW w:w="68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 Income and Adjusted Net (Loss) Income</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8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(21,361)</w:t>
            </w:r>
          </w:p>
        </w:tc>
        <w:tc>
          <w:tcPr>
            <w:tcW w:w="4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37,831</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7,084</w:t>
            </w:r>
          </w:p>
        </w:tc>
      </w:tr>
      <w:tr>
        <w:trPr>
          <w:trHeight w:val="257"/>
        </w:trPr>
        <w:tc>
          <w:tcPr>
            <w:tcW w:w="68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adjustments</w:t>
            </w:r>
            <w:r>
              <w:rPr>
                <w:rFonts w:ascii="Times New Roman" w:cs="Times New Roman" w:eastAsia="Times New Roman" w:hAnsi="Times New Roman"/>
                <w:sz w:val="29"/>
                <w:szCs w:val="29"/>
                <w:color w:val="auto"/>
                <w:vertAlign w:val="superscript"/>
              </w:rPr>
              <w:t>1</w:t>
            </w:r>
          </w:p>
        </w:tc>
        <w:tc>
          <w:tcPr>
            <w:tcW w:w="15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6,084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8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Tax adjustments</w:t>
            </w:r>
            <w:r>
              <w:rPr>
                <w:rFonts w:ascii="Times New Roman" w:cs="Times New Roman" w:eastAsia="Times New Roman" w:hAnsi="Times New Roman"/>
                <w:sz w:val="29"/>
                <w:szCs w:val="29"/>
                <w:color w:val="auto"/>
                <w:vertAlign w:val="superscript"/>
              </w:rPr>
              <w:t>2</w:t>
            </w:r>
          </w:p>
        </w:tc>
        <w:tc>
          <w:tcPr>
            <w:tcW w:w="1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(2,608)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(3,106)</w:t>
            </w:r>
          </w:p>
        </w:tc>
      </w:tr>
      <w:tr>
        <w:trPr>
          <w:trHeight w:val="22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(loss) income</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(9,784</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8"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costs of certain legal matters and employee actions outside the ordinary course of business.</w:t>
      </w:r>
    </w:p>
    <w:p>
      <w:pPr>
        <w:ind w:left="120" w:hanging="112"/>
        <w:spacing w:after="0" w:line="184" w:lineRule="auto"/>
        <w:tabs>
          <w:tab w:leader="none" w:pos="12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the tax impact of (a) the reconciling items above and (b) in the first quarter of 2025, other discrete tax items.</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(loss)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diluted (loss) earnings per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net cash (used in) provided by operating activities to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property and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4"/>
          </w:tcPr>
          <w:p>
            <w:pPr>
              <w:jc w:val="center"/>
              <w:ind w:left="490"/>
              <w:spacing w:after="0" w:line="191" w:lineRule="exact"/>
              <w:rPr>
                <w:sz w:val="20"/>
                <w:szCs w:val="20"/>
                <w:color w:val="auto"/>
              </w:rPr>
            </w:pPr>
            <w:r>
              <w:rPr>
                <w:rFonts w:ascii="Times New Roman" w:cs="Times New Roman" w:eastAsia="Times New Roman" w:hAnsi="Times New Roman"/>
                <w:sz w:val="18"/>
                <w:szCs w:val="18"/>
                <w:color w:val="auto"/>
                <w:w w:val="98"/>
              </w:rPr>
              <w:t>(Unaudited)</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8"/>
        </w:trPr>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(0.38)</w:t>
            </w: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0.63</w:t>
            </w:r>
          </w:p>
        </w:tc>
        <w:tc>
          <w:tcPr>
            <w:tcW w:w="4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gridSpan w:val="2"/>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0.69</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4"/>
          </w:tcPr>
          <w:p>
            <w:pPr>
              <w:jc w:val="center"/>
              <w:ind w:left="490"/>
              <w:spacing w:after="0" w:line="191" w:lineRule="exact"/>
              <w:rPr>
                <w:sz w:val="20"/>
                <w:szCs w:val="20"/>
                <w:color w:val="auto"/>
              </w:rPr>
            </w:pPr>
            <w:r>
              <w:rPr>
                <w:rFonts w:ascii="Times New Roman" w:cs="Times New Roman" w:eastAsia="Times New Roman" w:hAnsi="Times New Roman"/>
                <w:sz w:val="18"/>
                <w:szCs w:val="18"/>
                <w:color w:val="auto"/>
                <w:w w:val="98"/>
              </w:rPr>
              <w:t>(Unaudited)</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(20,234)</w:t>
            </w: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88,336</w:t>
            </w: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(858)</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(21,092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87,334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2">
            <w:col w:w="7720" w:space="720"/>
            <w:col w:w="2800"/>
          </w:cols>
          <w:pgMar w:left="320" w:top="900"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ODDITY TECH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investments</w:t>
            </w:r>
          </w:p>
        </w:tc>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3080" w:type="dxa"/>
            <w:vAlign w:val="bottom"/>
            <w:tcBorders>
              <w:top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3"/>
        </w:trPr>
        <w:tc>
          <w:tcPr>
            <w:tcW w:w="30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0"/>
        </w:trPr>
        <w:tc>
          <w:tcPr>
            <w:tcW w:w="30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(Audited)</w:t>
            </w:r>
          </w:p>
        </w:tc>
        <w:tc>
          <w:tcPr>
            <w:tcW w:w="10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restricted cash, and cash equivalents</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278,619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402,279</w:t>
            </w:r>
          </w:p>
        </w:tc>
      </w:tr>
      <w:tr>
        <w:trPr>
          <w:trHeight w:val="229"/>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388,739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373,741</w:t>
            </w:r>
          </w:p>
        </w:tc>
      </w:tr>
      <w:tr>
        <w:trPr>
          <w:trHeight w:val="223"/>
        </w:trPr>
        <w:tc>
          <w:tcPr>
            <w:tcW w:w="5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and investments</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667,358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776,020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revenue by sales channel</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0"/>
        </w:trPr>
        <w:tc>
          <w:tcPr>
            <w:tcW w:w="2220" w:type="dxa"/>
            <w:vAlign w:val="bottom"/>
            <w:tcBorders>
              <w:top w:val="single" w:sz="8" w:color="auto"/>
            </w:tcBorders>
          </w:tcPr>
          <w:p>
            <w:pPr>
              <w:spacing w:after="0"/>
              <w:rPr>
                <w:sz w:val="24"/>
                <w:szCs w:val="24"/>
                <w:color w:val="auto"/>
              </w:rPr>
            </w:pPr>
          </w:p>
        </w:tc>
        <w:tc>
          <w:tcPr>
            <w:tcW w:w="6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8"/>
        </w:trPr>
        <w:tc>
          <w:tcPr>
            <w:tcW w:w="22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2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r>
      <w:tr>
        <w:trPr>
          <w:trHeight w:val="209"/>
        </w:trPr>
        <w:tc>
          <w:tcPr>
            <w:tcW w:w="22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4"/>
          </w:tcPr>
          <w:p>
            <w:pPr>
              <w:jc w:val="center"/>
              <w:ind w:left="550"/>
              <w:spacing w:after="0"/>
              <w:rPr>
                <w:sz w:val="20"/>
                <w:szCs w:val="20"/>
                <w:color w:val="auto"/>
              </w:rPr>
            </w:pPr>
            <w:r>
              <w:rPr>
                <w:rFonts w:ascii="Times New Roman" w:cs="Times New Roman" w:eastAsia="Times New Roman" w:hAnsi="Times New Roman"/>
                <w:sz w:val="18"/>
                <w:szCs w:val="18"/>
                <w:color w:val="auto"/>
              </w:rPr>
              <w:t>(Unaudited)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 direct-to-consumer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193,055</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261,053</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 of net revenue</w:t>
            </w: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222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(Israel retail, marketing affiliates)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4,885</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7,023</w:t>
            </w:r>
          </w:p>
        </w:tc>
      </w:tr>
      <w:tr>
        <w:trPr>
          <w:trHeight w:val="216"/>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net revenue</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22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23"/>
        </w:trPr>
        <w:tc>
          <w:tcPr>
            <w:tcW w:w="8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197,940</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268,076</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Note: ODDITY does not sell to resellers or distributors. Online direct-to-consumer revenues are generated directly by ODDITY through its online platform only (i.e., ILMAKIAGE.com, SpoiledChild.com, and METHODIQ.com). All revenue in Israel, including revenue generated in stores, online, and from beauty academies, is included in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858"/>
    </w:lvl>
  </w:abstractNum>
  <w:abstractNum w:abstractNumId="5">
    <w:nsid w:val="79E2A9E3"/>
    <w:multiLevelType w:val="hybridMultilevel"/>
    <w:lvl w:ilvl="0">
      <w:lvlJc w:val="left"/>
      <w:lvlText w:val="\emdash "/>
      <w:numFmt w:val="bullet"/>
      <w:start w:val="1"/>
    </w:lvl>
  </w:abstractNum>
  <w:abstractNum w:abstractNumId="6">
    <w:nsid w:val="7545E146"/>
    <w:multiLevelType w:val="hybridMultilevel"/>
    <w:lvl w:ilvl="0">
      <w:lvlJc w:val="left"/>
      <w:lvlText w:val="%1"/>
      <w:numFmt w:val="decimal"/>
      <w:start w:val="13"/>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jpe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13" Type="http://schemas.openxmlformats.org/officeDocument/2006/relationships/hyperlink" Target="https://www.sec.gov/Archives/edgar/data/1907085/000110465923105377/tm2327153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2026-06-02T06:10:31Z</dcterms:created>
  <dcterms:modified xsi:type="dcterms:W3CDTF">2026-06-02T06:10:31Z</dcterms:modified>
</cp:coreProperties>
</file>